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820" w:rsidRDefault="00497820" w:rsidP="003259D9">
      <w:pPr>
        <w:spacing w:before="400" w:after="60" w:line="280" w:lineRule="atLeast"/>
        <w:jc w:val="right"/>
        <w:rPr>
          <w:rFonts w:eastAsia="Times New Roman"/>
          <w:bCs/>
          <w:i/>
          <w:iCs/>
          <w:color w:val="4F81BD"/>
          <w:sz w:val="56"/>
          <w:szCs w:val="56"/>
        </w:rPr>
      </w:pP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Service Delivery and Operations</w:t>
      </w:r>
    </w:p>
    <w:p w:rsidR="003259D9" w:rsidRPr="00665191" w:rsidRDefault="003259D9" w:rsidP="003259D9">
      <w:pPr>
        <w:spacing w:before="400" w:after="60" w:line="280" w:lineRule="atLeast"/>
        <w:jc w:val="right"/>
        <w:rPr>
          <w:rFonts w:eastAsia="Times New Roman"/>
          <w:bCs/>
          <w:i/>
          <w:iCs/>
          <w:color w:val="4F81BD"/>
          <w:sz w:val="56"/>
          <w:szCs w:val="56"/>
        </w:rPr>
      </w:pPr>
      <w:r w:rsidRPr="00665191">
        <w:rPr>
          <w:rFonts w:eastAsia="Times New Roman"/>
          <w:bCs/>
          <w:i/>
          <w:iCs/>
          <w:color w:val="4F81BD"/>
          <w:sz w:val="56"/>
          <w:szCs w:val="56"/>
        </w:rPr>
        <w:t>Customer Experience Survey</w:t>
      </w:r>
    </w:p>
    <w:p w:rsidR="003259D9" w:rsidRPr="00665191" w:rsidRDefault="00DB53CE" w:rsidP="00DB53CE">
      <w:pPr>
        <w:tabs>
          <w:tab w:val="left" w:pos="5607"/>
          <w:tab w:val="right" w:pos="9071"/>
        </w:tabs>
        <w:spacing w:before="400" w:after="60" w:line="280" w:lineRule="atLeast"/>
        <w:rPr>
          <w:rFonts w:eastAsia="Times New Roman"/>
          <w:bCs/>
          <w:i/>
          <w:iCs/>
          <w:color w:val="4F81BD"/>
          <w:sz w:val="56"/>
          <w:szCs w:val="56"/>
        </w:rPr>
      </w:pPr>
      <w:r>
        <w:rPr>
          <w:rFonts w:eastAsia="Times New Roman"/>
          <w:bCs/>
          <w:i/>
          <w:iCs/>
          <w:color w:val="4F81BD"/>
          <w:sz w:val="56"/>
          <w:szCs w:val="56"/>
        </w:rPr>
        <w:tab/>
      </w:r>
      <w:r>
        <w:rPr>
          <w:rFonts w:eastAsia="Times New Roman"/>
          <w:bCs/>
          <w:i/>
          <w:iCs/>
          <w:color w:val="4F81BD"/>
          <w:sz w:val="56"/>
          <w:szCs w:val="56"/>
        </w:rPr>
        <w:tab/>
      </w:r>
      <w:r w:rsidR="00057B57">
        <w:rPr>
          <w:rFonts w:eastAsia="Times New Roman"/>
          <w:bCs/>
          <w:i/>
          <w:iCs/>
          <w:color w:val="4F81BD"/>
          <w:sz w:val="56"/>
          <w:szCs w:val="56"/>
        </w:rPr>
        <w:t>2018/19</w:t>
      </w:r>
    </w:p>
    <w:tbl>
      <w:tblPr>
        <w:tblStyle w:val="TableGrid11"/>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3259D9" w:rsidRPr="00665191" w:rsidTr="008B6D44">
        <w:tc>
          <w:tcPr>
            <w:tcW w:w="2544" w:type="dxa"/>
            <w:vAlign w:val="bottom"/>
          </w:tcPr>
          <w:p w:rsidR="003259D9" w:rsidRPr="00665191" w:rsidRDefault="003259D9" w:rsidP="008B6D44">
            <w:pPr>
              <w:spacing w:before="120" w:after="567" w:line="600" w:lineRule="atLeast"/>
              <w:rPr>
                <w:rFonts w:ascii="Calibri" w:eastAsia="Times New Roman" w:hAnsi="Calibri"/>
                <w:color w:val="A7A9AC"/>
                <w:sz w:val="50"/>
                <w:szCs w:val="24"/>
              </w:rPr>
            </w:pPr>
          </w:p>
        </w:tc>
        <w:tc>
          <w:tcPr>
            <w:tcW w:w="7345" w:type="dxa"/>
            <w:tcMar>
              <w:left w:w="851" w:type="dxa"/>
              <w:right w:w="0" w:type="dxa"/>
            </w:tcMar>
            <w:vAlign w:val="bottom"/>
          </w:tcPr>
          <w:p w:rsidR="003259D9" w:rsidRPr="00665191" w:rsidRDefault="003259D9" w:rsidP="008B6D44">
            <w:pPr>
              <w:spacing w:before="120" w:after="567" w:line="924" w:lineRule="atLeast"/>
              <w:jc w:val="right"/>
              <w:rPr>
                <w:rFonts w:ascii="Calibri" w:eastAsia="Times New Roman" w:hAnsi="Calibri"/>
                <w:sz w:val="77"/>
                <w:szCs w:val="24"/>
              </w:rPr>
            </w:pPr>
            <w:r w:rsidRPr="00665191">
              <w:rPr>
                <w:rFonts w:ascii="Calibri" w:eastAsia="Times New Roman" w:hAnsi="Calibri"/>
                <w:sz w:val="77"/>
                <w:szCs w:val="24"/>
              </w:rPr>
              <w:t xml:space="preserve">  </w:t>
            </w:r>
          </w:p>
          <w:p w:rsidR="003259D9" w:rsidRPr="00665191" w:rsidRDefault="003259D9" w:rsidP="008B6D44">
            <w:pPr>
              <w:spacing w:before="120" w:after="567" w:line="600" w:lineRule="atLeast"/>
              <w:jc w:val="right"/>
              <w:rPr>
                <w:rFonts w:ascii="Calibri" w:eastAsia="Times New Roman" w:hAnsi="Calibri"/>
                <w:color w:val="A7A9AC"/>
                <w:sz w:val="50"/>
                <w:szCs w:val="24"/>
              </w:rPr>
            </w:pPr>
          </w:p>
          <w:p w:rsidR="003259D9" w:rsidRPr="00665191" w:rsidRDefault="003259D9" w:rsidP="008B6D44">
            <w:pPr>
              <w:spacing w:before="120" w:after="567" w:line="600" w:lineRule="atLeast"/>
              <w:rPr>
                <w:rFonts w:ascii="Calibri" w:eastAsia="Times New Roman" w:hAnsi="Calibri"/>
                <w:color w:val="A7A9AC"/>
                <w:sz w:val="50"/>
                <w:szCs w:val="24"/>
              </w:rPr>
            </w:pPr>
          </w:p>
          <w:p w:rsidR="003259D9" w:rsidRPr="00665191" w:rsidRDefault="003259D9" w:rsidP="008B6D44">
            <w:pPr>
              <w:spacing w:before="120" w:after="567" w:line="600" w:lineRule="atLeast"/>
              <w:rPr>
                <w:rFonts w:ascii="Calibri" w:eastAsia="Times New Roman" w:hAnsi="Calibri"/>
                <w:color w:val="A7A9AC"/>
                <w:sz w:val="50"/>
                <w:szCs w:val="24"/>
              </w:rPr>
            </w:pPr>
          </w:p>
          <w:p w:rsidR="003259D9" w:rsidRPr="00665191" w:rsidRDefault="003259D9" w:rsidP="008B6D44">
            <w:pPr>
              <w:spacing w:before="120" w:after="567" w:line="600" w:lineRule="atLeast"/>
              <w:rPr>
                <w:rFonts w:ascii="Calibri" w:eastAsia="Times New Roman" w:hAnsi="Calibri"/>
                <w:color w:val="A7A9AC"/>
                <w:sz w:val="50"/>
                <w:szCs w:val="24"/>
              </w:rPr>
            </w:pPr>
          </w:p>
          <w:p w:rsidR="003259D9" w:rsidRPr="00665191" w:rsidRDefault="003259D9" w:rsidP="008B6D44">
            <w:pPr>
              <w:spacing w:before="120" w:after="567" w:line="600" w:lineRule="atLeast"/>
              <w:rPr>
                <w:rFonts w:ascii="Calibri" w:eastAsia="Times New Roman" w:hAnsi="Calibri"/>
                <w:color w:val="A7A9AC"/>
                <w:sz w:val="50"/>
                <w:szCs w:val="24"/>
              </w:rPr>
            </w:pPr>
          </w:p>
          <w:p w:rsidR="003259D9" w:rsidRPr="00665191" w:rsidRDefault="003259D9" w:rsidP="008B6D44">
            <w:pPr>
              <w:spacing w:before="120" w:after="567" w:line="600" w:lineRule="atLeast"/>
              <w:rPr>
                <w:rFonts w:ascii="Calibri" w:eastAsia="Times New Roman" w:hAnsi="Calibri"/>
                <w:color w:val="A7A9AC"/>
                <w:sz w:val="50"/>
                <w:szCs w:val="24"/>
              </w:rPr>
            </w:pPr>
          </w:p>
        </w:tc>
      </w:tr>
    </w:tbl>
    <w:p w:rsidR="003259D9" w:rsidRPr="00665191" w:rsidRDefault="003259D9" w:rsidP="003259D9">
      <w:pPr>
        <w:spacing w:before="0" w:after="200" w:line="280" w:lineRule="atLeast"/>
        <w:rPr>
          <w:rFonts w:eastAsia="Times New Roman"/>
          <w:sz w:val="22"/>
        </w:rPr>
      </w:pPr>
    </w:p>
    <w:p w:rsidR="003259D9" w:rsidRPr="00665191" w:rsidRDefault="00F45E46" w:rsidP="003259D9">
      <w:pPr>
        <w:spacing w:before="0" w:after="0" w:line="240" w:lineRule="atLeast"/>
        <w:jc w:val="right"/>
        <w:rPr>
          <w:rFonts w:eastAsia="Times New Roman"/>
          <w:sz w:val="20"/>
        </w:rPr>
      </w:pPr>
      <w:r>
        <w:rPr>
          <w:rFonts w:eastAsia="Times New Roman"/>
          <w:sz w:val="20"/>
        </w:rPr>
        <w:t>Analytics and Reporting</w:t>
      </w:r>
      <w:r w:rsidR="00587989">
        <w:rPr>
          <w:rFonts w:eastAsia="Times New Roman"/>
          <w:sz w:val="20"/>
        </w:rPr>
        <w:t xml:space="preserve"> / Customer Design and Uptake</w:t>
      </w:r>
    </w:p>
    <w:p w:rsidR="003259D9" w:rsidRPr="00665191" w:rsidRDefault="003259D9" w:rsidP="003259D9">
      <w:pPr>
        <w:spacing w:before="0" w:after="0" w:line="240" w:lineRule="atLeast"/>
        <w:jc w:val="right"/>
        <w:rPr>
          <w:rFonts w:eastAsia="Times New Roman"/>
          <w:sz w:val="20"/>
        </w:rPr>
      </w:pPr>
      <w:r w:rsidRPr="00665191">
        <w:rPr>
          <w:rFonts w:eastAsia="Times New Roman"/>
          <w:sz w:val="20"/>
        </w:rPr>
        <w:t>Service Delivery and Operations</w:t>
      </w:r>
    </w:p>
    <w:p w:rsidR="003259D9" w:rsidRPr="00665191" w:rsidRDefault="003259D9" w:rsidP="003259D9">
      <w:pPr>
        <w:spacing w:before="0" w:after="0" w:line="240" w:lineRule="atLeast"/>
        <w:rPr>
          <w:rFonts w:eastAsia="Times New Roman"/>
          <w:sz w:val="20"/>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ind w:left="-567"/>
        <w:rPr>
          <w:rFonts w:eastAsia="Times New Roman"/>
          <w:b/>
          <w:bCs/>
          <w:i/>
          <w:iCs/>
          <w:color w:val="4F81BD"/>
          <w:sz w:val="22"/>
        </w:rPr>
      </w:pPr>
    </w:p>
    <w:p w:rsidR="003259D9" w:rsidRPr="00665191" w:rsidRDefault="003259D9" w:rsidP="003259D9">
      <w:pPr>
        <w:spacing w:before="0" w:after="0" w:line="280" w:lineRule="atLeast"/>
        <w:rPr>
          <w:rFonts w:eastAsia="Times New Roman" w:cs="Arial"/>
          <w:color w:val="4F81BD"/>
        </w:rPr>
      </w:pPr>
      <w:r w:rsidRPr="00665191">
        <w:rPr>
          <w:rFonts w:eastAsia="Times New Roman"/>
          <w:b/>
          <w:bCs/>
          <w:i/>
          <w:iCs/>
          <w:color w:val="4F81BD"/>
          <w:sz w:val="22"/>
        </w:rPr>
        <w:t>Acknowledgements</w:t>
      </w:r>
    </w:p>
    <w:p w:rsidR="003259D9" w:rsidRPr="00665191" w:rsidRDefault="003259D9" w:rsidP="003259D9">
      <w:pPr>
        <w:spacing w:before="0" w:after="0" w:line="280" w:lineRule="atLeast"/>
        <w:rPr>
          <w:rFonts w:eastAsia="Times New Roman" w:cs="Arial"/>
        </w:rPr>
      </w:pPr>
    </w:p>
    <w:p w:rsidR="004C21B6" w:rsidRDefault="003259D9" w:rsidP="003259D9">
      <w:pPr>
        <w:keepNext/>
        <w:spacing w:before="240" w:after="60" w:line="280" w:lineRule="atLeast"/>
        <w:outlineLvl w:val="3"/>
        <w:rPr>
          <w:rFonts w:eastAsia="Times New Roman" w:cs="Arial"/>
          <w:bCs/>
          <w:sz w:val="22"/>
          <w:szCs w:val="22"/>
        </w:rPr>
      </w:pPr>
      <w:r w:rsidRPr="00665191">
        <w:rPr>
          <w:rFonts w:eastAsia="Times New Roman" w:cs="Arial"/>
          <w:bCs/>
          <w:sz w:val="22"/>
          <w:szCs w:val="22"/>
        </w:rPr>
        <w:t xml:space="preserve">The Department of Internal Affairs acknowledges </w:t>
      </w:r>
      <w:r w:rsidR="007F7335">
        <w:rPr>
          <w:rFonts w:eastAsia="Times New Roman" w:cs="Arial"/>
          <w:bCs/>
          <w:sz w:val="22"/>
          <w:szCs w:val="22"/>
        </w:rPr>
        <w:t>the</w:t>
      </w:r>
      <w:r w:rsidRPr="00665191">
        <w:rPr>
          <w:rFonts w:eastAsia="Times New Roman" w:cs="Arial"/>
          <w:bCs/>
          <w:sz w:val="22"/>
          <w:szCs w:val="22"/>
        </w:rPr>
        <w:t xml:space="preserve"> team at Research New Zealand for their analysis of the data.</w:t>
      </w:r>
      <w:r w:rsidR="00B05909">
        <w:rPr>
          <w:rFonts w:eastAsia="Times New Roman" w:cs="Arial"/>
          <w:bCs/>
          <w:sz w:val="22"/>
          <w:szCs w:val="22"/>
        </w:rPr>
        <w:t xml:space="preserve"> </w:t>
      </w:r>
    </w:p>
    <w:p w:rsidR="00EF6592" w:rsidRDefault="00057B57" w:rsidP="003259D9">
      <w:pPr>
        <w:keepNext/>
        <w:spacing w:before="240" w:after="60" w:line="280" w:lineRule="atLeast"/>
        <w:outlineLvl w:val="3"/>
        <w:rPr>
          <w:rFonts w:eastAsia="Times New Roman" w:cs="Arial"/>
          <w:bCs/>
          <w:sz w:val="22"/>
          <w:szCs w:val="22"/>
        </w:rPr>
      </w:pPr>
      <w:r>
        <w:rPr>
          <w:rFonts w:eastAsia="Times New Roman" w:cs="Arial"/>
          <w:bCs/>
          <w:sz w:val="22"/>
          <w:szCs w:val="22"/>
        </w:rPr>
        <w:t>Author</w:t>
      </w:r>
      <w:r w:rsidR="00EF6592">
        <w:rPr>
          <w:rFonts w:eastAsia="Times New Roman" w:cs="Arial"/>
          <w:bCs/>
          <w:sz w:val="22"/>
          <w:szCs w:val="22"/>
        </w:rPr>
        <w:t>s</w:t>
      </w:r>
      <w:r w:rsidR="003259D9" w:rsidRPr="00665191">
        <w:rPr>
          <w:rFonts w:eastAsia="Times New Roman" w:cs="Arial"/>
          <w:bCs/>
          <w:sz w:val="22"/>
          <w:szCs w:val="22"/>
        </w:rPr>
        <w:t>:</w:t>
      </w:r>
      <w:r w:rsidR="00EF5B47">
        <w:rPr>
          <w:rFonts w:eastAsia="Times New Roman" w:cs="Arial"/>
          <w:bCs/>
          <w:sz w:val="22"/>
          <w:szCs w:val="22"/>
        </w:rPr>
        <w:t xml:space="preserve"> </w:t>
      </w:r>
    </w:p>
    <w:p w:rsidR="008938A6" w:rsidRDefault="00EF5B47" w:rsidP="003259D9">
      <w:pPr>
        <w:keepNext/>
        <w:spacing w:before="240" w:after="60" w:line="280" w:lineRule="atLeast"/>
        <w:outlineLvl w:val="3"/>
        <w:rPr>
          <w:rFonts w:eastAsia="Times New Roman" w:cs="Arial"/>
          <w:bCs/>
          <w:sz w:val="22"/>
          <w:szCs w:val="22"/>
        </w:rPr>
      </w:pPr>
      <w:r>
        <w:rPr>
          <w:rFonts w:eastAsia="Times New Roman" w:cs="Arial"/>
          <w:bCs/>
          <w:sz w:val="22"/>
          <w:szCs w:val="22"/>
        </w:rPr>
        <w:t xml:space="preserve">Matt Disney </w:t>
      </w:r>
      <w:r w:rsidR="00057B57">
        <w:rPr>
          <w:rFonts w:eastAsia="Times New Roman" w:cs="Arial"/>
          <w:bCs/>
          <w:sz w:val="22"/>
          <w:szCs w:val="22"/>
        </w:rPr>
        <w:t xml:space="preserve">- </w:t>
      </w:r>
      <w:r w:rsidR="00CD1ECF">
        <w:rPr>
          <w:rFonts w:eastAsia="Times New Roman" w:cs="Arial"/>
          <w:bCs/>
          <w:sz w:val="22"/>
          <w:szCs w:val="22"/>
        </w:rPr>
        <w:t xml:space="preserve">Analytics and Reporting, </w:t>
      </w:r>
      <w:r w:rsidR="008938A6">
        <w:rPr>
          <w:rFonts w:eastAsia="Times New Roman" w:cs="Arial"/>
          <w:bCs/>
          <w:sz w:val="22"/>
          <w:szCs w:val="22"/>
        </w:rPr>
        <w:t>Operations</w:t>
      </w:r>
    </w:p>
    <w:p w:rsidR="00EF6592" w:rsidRDefault="00EF6592" w:rsidP="003259D9">
      <w:pPr>
        <w:keepNext/>
        <w:spacing w:before="240" w:after="60" w:line="280" w:lineRule="atLeast"/>
        <w:outlineLvl w:val="3"/>
        <w:rPr>
          <w:rFonts w:eastAsia="Times New Roman" w:cs="Arial"/>
          <w:bCs/>
          <w:sz w:val="22"/>
          <w:szCs w:val="22"/>
        </w:rPr>
      </w:pPr>
      <w:r>
        <w:rPr>
          <w:rFonts w:eastAsia="Times New Roman" w:cs="Arial"/>
          <w:bCs/>
          <w:sz w:val="22"/>
          <w:szCs w:val="22"/>
        </w:rPr>
        <w:t xml:space="preserve">Jehan Perera – Customer Design and Uptake </w:t>
      </w:r>
      <w:r w:rsidR="00A139D6">
        <w:rPr>
          <w:rFonts w:eastAsia="Times New Roman" w:cs="Arial"/>
          <w:bCs/>
          <w:sz w:val="22"/>
          <w:szCs w:val="22"/>
        </w:rPr>
        <w:t>–</w:t>
      </w:r>
      <w:r>
        <w:rPr>
          <w:rFonts w:eastAsia="Times New Roman" w:cs="Arial"/>
          <w:bCs/>
          <w:sz w:val="22"/>
          <w:szCs w:val="22"/>
        </w:rPr>
        <w:t xml:space="preserve"> </w:t>
      </w:r>
      <w:r w:rsidR="00A139D6">
        <w:rPr>
          <w:rFonts w:eastAsia="Times New Roman" w:cs="Arial"/>
          <w:bCs/>
          <w:sz w:val="22"/>
          <w:szCs w:val="22"/>
        </w:rPr>
        <w:t>Services and Access</w:t>
      </w:r>
    </w:p>
    <w:p w:rsidR="003259D9" w:rsidRPr="00665191" w:rsidRDefault="003259D9" w:rsidP="00FC1054">
      <w:pPr>
        <w:keepNext/>
        <w:spacing w:before="240" w:after="60" w:line="280" w:lineRule="atLeast"/>
        <w:outlineLvl w:val="3"/>
        <w:rPr>
          <w:rFonts w:eastAsia="Times New Roman" w:cs="Arial"/>
          <w:b/>
          <w:bCs/>
          <w:szCs w:val="28"/>
        </w:rPr>
      </w:pPr>
      <w:r w:rsidRPr="00665191">
        <w:rPr>
          <w:rFonts w:eastAsia="Times New Roman" w:cs="Arial"/>
          <w:b/>
          <w:bCs/>
          <w:szCs w:val="28"/>
        </w:rPr>
        <w:br w:type="page"/>
      </w:r>
    </w:p>
    <w:p w:rsidR="003259D9" w:rsidRPr="00E51C9A" w:rsidRDefault="003259D9" w:rsidP="00E51C9A">
      <w:pPr>
        <w:keepNext/>
        <w:spacing w:before="240" w:after="60" w:line="280" w:lineRule="atLeast"/>
        <w:outlineLvl w:val="3"/>
        <w:rPr>
          <w:rFonts w:eastAsia="Times New Roman" w:cs="Arial"/>
          <w:b/>
          <w:bCs/>
          <w:szCs w:val="28"/>
        </w:rPr>
      </w:pPr>
      <w:r w:rsidRPr="00665191">
        <w:rPr>
          <w:rFonts w:eastAsia="Times New Roman"/>
          <w:b/>
          <w:i/>
          <w:iCs/>
          <w:color w:val="4F81BD"/>
        </w:rPr>
        <w:lastRenderedPageBreak/>
        <w:t>Introduction</w:t>
      </w:r>
    </w:p>
    <w:p w:rsidR="00E51C9A" w:rsidRPr="00990573" w:rsidRDefault="00E51C9A" w:rsidP="00E51C9A">
      <w:pPr>
        <w:keepNext/>
        <w:spacing w:before="240" w:after="60" w:line="280" w:lineRule="atLeast"/>
        <w:outlineLvl w:val="3"/>
        <w:rPr>
          <w:rFonts w:eastAsia="Times New Roman" w:cs="Arial"/>
          <w:b/>
          <w:bCs/>
          <w:szCs w:val="28"/>
        </w:rPr>
      </w:pPr>
      <w:r w:rsidRPr="00665191">
        <w:rPr>
          <w:rFonts w:eastAsia="Times New Roman" w:cs="Arial"/>
          <w:sz w:val="22"/>
          <w:szCs w:val="22"/>
        </w:rPr>
        <w:t>This report provides a summa</w:t>
      </w:r>
      <w:r>
        <w:rPr>
          <w:rFonts w:eastAsia="Times New Roman" w:cs="Arial"/>
          <w:sz w:val="22"/>
          <w:szCs w:val="22"/>
        </w:rPr>
        <w:t>ry of key findings from the 2018/19</w:t>
      </w:r>
      <w:r w:rsidRPr="00665191">
        <w:rPr>
          <w:rFonts w:eastAsia="Times New Roman" w:cs="Arial"/>
          <w:sz w:val="22"/>
          <w:szCs w:val="22"/>
        </w:rPr>
        <w:t xml:space="preserve"> Service Delivery and Operations Customer Experience Survey. </w:t>
      </w:r>
    </w:p>
    <w:p w:rsidR="00E51C9A" w:rsidRPr="00665191" w:rsidRDefault="00E51C9A" w:rsidP="00E51C9A">
      <w:pPr>
        <w:spacing w:before="0" w:after="0" w:line="280" w:lineRule="atLeast"/>
        <w:rPr>
          <w:rFonts w:eastAsia="Times New Roman" w:cs="Arial"/>
          <w:sz w:val="22"/>
          <w:szCs w:val="22"/>
        </w:rPr>
      </w:pPr>
    </w:p>
    <w:p w:rsidR="00E51C9A" w:rsidRPr="00665191" w:rsidRDefault="00E51C9A" w:rsidP="00E51C9A">
      <w:pPr>
        <w:spacing w:before="0" w:after="0" w:line="280" w:lineRule="atLeast"/>
        <w:rPr>
          <w:rFonts w:eastAsia="Times New Roman" w:cs="Arial"/>
          <w:sz w:val="22"/>
          <w:szCs w:val="22"/>
        </w:rPr>
      </w:pPr>
      <w:r w:rsidRPr="00665191">
        <w:rPr>
          <w:rFonts w:eastAsia="Times New Roman" w:cs="Arial"/>
          <w:sz w:val="22"/>
          <w:szCs w:val="22"/>
        </w:rPr>
        <w:t>Service Delivery and Operations (SDO) provides a variety of services to the public including passports, community advisory and funding services, birth, death, marriage, civil union, and name change, authentications, citizenship, charities registration, and identity verification services.</w:t>
      </w:r>
    </w:p>
    <w:p w:rsidR="00E51C9A" w:rsidRPr="00665191" w:rsidRDefault="00E51C9A" w:rsidP="00E51C9A">
      <w:pPr>
        <w:spacing w:before="0" w:after="0" w:line="280" w:lineRule="atLeast"/>
        <w:rPr>
          <w:rFonts w:eastAsia="Times New Roman" w:cs="Arial"/>
          <w:sz w:val="22"/>
          <w:szCs w:val="22"/>
        </w:rPr>
      </w:pPr>
    </w:p>
    <w:p w:rsidR="00E51C9A" w:rsidRPr="00665191" w:rsidRDefault="00E51C9A" w:rsidP="00E51C9A">
      <w:pPr>
        <w:spacing w:before="0" w:after="0" w:line="280" w:lineRule="atLeast"/>
        <w:rPr>
          <w:rFonts w:eastAsia="Times New Roman" w:cs="Arial"/>
          <w:sz w:val="22"/>
          <w:szCs w:val="22"/>
        </w:rPr>
      </w:pPr>
      <w:r w:rsidRPr="00665191">
        <w:rPr>
          <w:rFonts w:eastAsia="Times New Roman" w:cs="Arial"/>
          <w:sz w:val="22"/>
          <w:szCs w:val="22"/>
        </w:rPr>
        <w:t xml:space="preserve">In this survey we seek to understand how the public rates our service, how they interact with SDO and what we can do to improve our service. </w:t>
      </w:r>
    </w:p>
    <w:p w:rsidR="00E51C9A" w:rsidRPr="00665191" w:rsidRDefault="00E51C9A" w:rsidP="00E51C9A">
      <w:pPr>
        <w:spacing w:before="0" w:after="0" w:line="280" w:lineRule="atLeast"/>
        <w:rPr>
          <w:rFonts w:eastAsia="Times New Roman" w:cs="Arial"/>
          <w:sz w:val="22"/>
          <w:szCs w:val="22"/>
        </w:rPr>
      </w:pPr>
    </w:p>
    <w:p w:rsidR="00E51C9A" w:rsidRPr="00665191" w:rsidRDefault="00E51C9A" w:rsidP="00E51C9A">
      <w:pPr>
        <w:spacing w:before="0" w:after="0" w:line="280" w:lineRule="atLeast"/>
        <w:rPr>
          <w:rFonts w:eastAsia="Times New Roman" w:cs="Arial"/>
          <w:sz w:val="22"/>
          <w:szCs w:val="22"/>
        </w:rPr>
      </w:pPr>
      <w:r>
        <w:rPr>
          <w:rFonts w:eastAsia="Times New Roman" w:cs="Arial"/>
          <w:sz w:val="22"/>
          <w:szCs w:val="22"/>
        </w:rPr>
        <w:t>The 201</w:t>
      </w:r>
      <w:r w:rsidR="00A713BD">
        <w:rPr>
          <w:rFonts w:eastAsia="Times New Roman" w:cs="Arial"/>
          <w:sz w:val="22"/>
          <w:szCs w:val="22"/>
        </w:rPr>
        <w:t>8/19</w:t>
      </w:r>
      <w:r w:rsidRPr="00665191">
        <w:rPr>
          <w:rFonts w:eastAsia="Times New Roman" w:cs="Arial"/>
          <w:sz w:val="22"/>
          <w:szCs w:val="22"/>
        </w:rPr>
        <w:t xml:space="preserve"> survey is the </w:t>
      </w:r>
      <w:r w:rsidR="00A713BD">
        <w:rPr>
          <w:rFonts w:eastAsia="Times New Roman" w:cs="Arial"/>
          <w:sz w:val="22"/>
          <w:szCs w:val="22"/>
        </w:rPr>
        <w:t>seventh</w:t>
      </w:r>
      <w:r w:rsidRPr="00665191">
        <w:rPr>
          <w:rFonts w:eastAsia="Times New Roman" w:cs="Arial"/>
          <w:sz w:val="22"/>
          <w:szCs w:val="22"/>
        </w:rPr>
        <w:t xml:space="preserve"> </w:t>
      </w:r>
      <w:r>
        <w:rPr>
          <w:rFonts w:eastAsia="Times New Roman" w:cs="Arial"/>
          <w:sz w:val="22"/>
          <w:szCs w:val="22"/>
        </w:rPr>
        <w:t>year this survey has run</w:t>
      </w:r>
      <w:r w:rsidRPr="00665191">
        <w:rPr>
          <w:rFonts w:eastAsia="Times New Roman" w:cs="Arial"/>
          <w:sz w:val="22"/>
          <w:szCs w:val="22"/>
        </w:rPr>
        <w:t xml:space="preserve"> to monitor public satisfaction over time, and to monitor responses to changes in our service delivery.</w:t>
      </w:r>
      <w:r w:rsidR="009C4CFB">
        <w:rPr>
          <w:rFonts w:eastAsia="Times New Roman" w:cs="Arial"/>
          <w:sz w:val="22"/>
          <w:szCs w:val="22"/>
        </w:rPr>
        <w:t xml:space="preserve"> </w:t>
      </w:r>
      <w:r w:rsidR="006B7A2F">
        <w:rPr>
          <w:rFonts w:eastAsia="Times New Roman" w:cs="Arial"/>
          <w:sz w:val="22"/>
          <w:szCs w:val="22"/>
        </w:rPr>
        <w:t>In April 2019 a new digital services module was introduced to the survey. D</w:t>
      </w:r>
      <w:r w:rsidR="002C5F4F">
        <w:rPr>
          <w:rFonts w:eastAsia="Times New Roman" w:cs="Arial"/>
          <w:sz w:val="22"/>
          <w:szCs w:val="22"/>
        </w:rPr>
        <w:t>etailed findings from this module</w:t>
      </w:r>
      <w:r w:rsidR="006B7A2F">
        <w:rPr>
          <w:rFonts w:eastAsia="Times New Roman" w:cs="Arial"/>
          <w:sz w:val="22"/>
          <w:szCs w:val="22"/>
        </w:rPr>
        <w:t xml:space="preserve"> are included in this report.</w:t>
      </w:r>
    </w:p>
    <w:p w:rsidR="00A3578E" w:rsidRPr="00665191" w:rsidRDefault="00A3578E" w:rsidP="00A3578E">
      <w:pPr>
        <w:spacing w:before="0" w:after="0" w:line="280" w:lineRule="atLeast"/>
        <w:rPr>
          <w:rFonts w:eastAsia="Times New Roman" w:cs="Arial"/>
          <w:color w:val="E36C0A"/>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Key Findings</w:t>
      </w:r>
    </w:p>
    <w:p w:rsidR="003259D9" w:rsidRPr="00665191" w:rsidRDefault="003259D9" w:rsidP="003259D9">
      <w:pPr>
        <w:spacing w:before="0" w:after="0" w:line="280" w:lineRule="atLeast"/>
        <w:ind w:left="-426"/>
        <w:rPr>
          <w:rFonts w:eastAsia="Times New Roman" w:cs="Arial"/>
          <w:color w:val="000000" w:themeColor="text1"/>
        </w:rPr>
      </w:pPr>
    </w:p>
    <w:p w:rsidR="002C5F4F" w:rsidRDefault="002C5F4F" w:rsidP="002C5F4F">
      <w:pPr>
        <w:spacing w:before="0" w:after="0" w:line="280" w:lineRule="atLeast"/>
        <w:contextualSpacing/>
        <w:rPr>
          <w:rFonts w:eastAsia="Times New Roman" w:cs="Arial"/>
          <w:color w:val="000000" w:themeColor="text1"/>
          <w:sz w:val="22"/>
          <w:szCs w:val="22"/>
        </w:rPr>
      </w:pPr>
      <w:r>
        <w:rPr>
          <w:rFonts w:eastAsia="Times New Roman" w:cs="Arial"/>
          <w:color w:val="000000" w:themeColor="text1"/>
          <w:sz w:val="22"/>
          <w:szCs w:val="22"/>
        </w:rPr>
        <w:t>Customer satisfaction with the services that SDO deliver remains high. Customers continue to have high expectations of the service they will receive and comments show us that customer expectations of our services continue to evolve. We are well underway with our customer centred service transformation which will substantially shift the way our services are delivered, in line with customer expectations. Results from the new digital services module of this survey show a strong preference for accessing our services online, where they are available.</w:t>
      </w:r>
    </w:p>
    <w:p w:rsidR="003259D9" w:rsidRPr="00665191" w:rsidRDefault="003259D9" w:rsidP="00747DB3">
      <w:pPr>
        <w:spacing w:before="0" w:after="0" w:line="280" w:lineRule="atLeast"/>
        <w:contextualSpacing/>
        <w:rPr>
          <w:rFonts w:eastAsia="Times New Roman" w:cs="Arial"/>
        </w:rPr>
      </w:pPr>
    </w:p>
    <w:p w:rsidR="003259D9" w:rsidRPr="00990573" w:rsidRDefault="003259D9" w:rsidP="003259D9">
      <w:pPr>
        <w:spacing w:before="0" w:after="0" w:line="280" w:lineRule="atLeast"/>
        <w:rPr>
          <w:rFonts w:eastAsia="Times New Roman" w:cs="Arial"/>
        </w:rPr>
      </w:pPr>
      <w:r w:rsidRPr="00665191">
        <w:rPr>
          <w:rFonts w:eastAsia="Times New Roman"/>
          <w:b/>
          <w:bCs/>
          <w:i/>
          <w:iCs/>
          <w:color w:val="4F81BD"/>
        </w:rPr>
        <w:t>Overall Satisfaction</w:t>
      </w:r>
    </w:p>
    <w:p w:rsidR="00A26D4F" w:rsidRPr="00665191" w:rsidRDefault="00A26D4F" w:rsidP="003259D9">
      <w:pPr>
        <w:spacing w:before="0" w:after="0" w:line="280" w:lineRule="atLeast"/>
        <w:rPr>
          <w:rFonts w:eastAsia="Times New Roman" w:cs="Arial"/>
        </w:rPr>
      </w:pPr>
    </w:p>
    <w:p w:rsidR="00775350" w:rsidRDefault="00072FAC" w:rsidP="003259D9">
      <w:pPr>
        <w:spacing w:before="0" w:after="0" w:line="280" w:lineRule="atLeast"/>
        <w:rPr>
          <w:rFonts w:eastAsia="Times New Roman" w:cs="Arial"/>
          <w:sz w:val="22"/>
          <w:szCs w:val="22"/>
        </w:rPr>
      </w:pPr>
      <w:r>
        <w:rPr>
          <w:rFonts w:eastAsia="Times New Roman" w:cs="Arial"/>
          <w:sz w:val="22"/>
          <w:szCs w:val="22"/>
        </w:rPr>
        <w:t xml:space="preserve">The overall satisfaction figure for the entirety of SDO has remained </w:t>
      </w:r>
      <w:r w:rsidR="00FE747A">
        <w:rPr>
          <w:rFonts w:eastAsia="Times New Roman" w:cs="Arial"/>
          <w:sz w:val="22"/>
          <w:szCs w:val="22"/>
        </w:rPr>
        <w:t>high</w:t>
      </w:r>
      <w:r>
        <w:rPr>
          <w:rFonts w:eastAsia="Times New Roman" w:cs="Arial"/>
          <w:sz w:val="22"/>
          <w:szCs w:val="22"/>
        </w:rPr>
        <w:t>. Most business groups show a small increase or decrease; however these are within the margin of error. The exception is Births, Deaths and Marriages, which has had a significant recovery following the drop last year. Charities Services</w:t>
      </w:r>
      <w:r w:rsidR="00775350">
        <w:rPr>
          <w:rFonts w:eastAsia="Times New Roman" w:cs="Arial"/>
          <w:sz w:val="22"/>
          <w:szCs w:val="22"/>
        </w:rPr>
        <w:t xml:space="preserve"> shows a similar recovery after a drop in 2017/</w:t>
      </w:r>
      <w:r w:rsidR="009F0666">
        <w:rPr>
          <w:rFonts w:eastAsia="Times New Roman" w:cs="Arial"/>
          <w:sz w:val="22"/>
          <w:szCs w:val="22"/>
        </w:rPr>
        <w:t>18;</w:t>
      </w:r>
      <w:r w:rsidR="00775350">
        <w:rPr>
          <w:rFonts w:eastAsia="Times New Roman" w:cs="Arial"/>
          <w:sz w:val="22"/>
          <w:szCs w:val="22"/>
        </w:rPr>
        <w:t xml:space="preserve"> however this is still just inside the margin of error so we </w:t>
      </w:r>
      <w:r w:rsidR="009F0666">
        <w:rPr>
          <w:rFonts w:eastAsia="Times New Roman" w:cs="Arial"/>
          <w:sz w:val="22"/>
          <w:szCs w:val="22"/>
        </w:rPr>
        <w:t>cannot</w:t>
      </w:r>
      <w:r w:rsidR="00775350">
        <w:rPr>
          <w:rFonts w:eastAsia="Times New Roman" w:cs="Arial"/>
          <w:sz w:val="22"/>
          <w:szCs w:val="22"/>
        </w:rPr>
        <w:t xml:space="preserve"> say for</w:t>
      </w:r>
      <w:r w:rsidR="002C5F4F">
        <w:rPr>
          <w:rFonts w:eastAsia="Times New Roman" w:cs="Arial"/>
          <w:sz w:val="22"/>
          <w:szCs w:val="22"/>
        </w:rPr>
        <w:t xml:space="preserve"> sure there has been a change.</w:t>
      </w:r>
    </w:p>
    <w:p w:rsidR="00FE747A" w:rsidRDefault="00FE747A" w:rsidP="003259D9">
      <w:pPr>
        <w:spacing w:before="0" w:after="0" w:line="280" w:lineRule="atLeast"/>
        <w:rPr>
          <w:rFonts w:eastAsia="Times New Roman" w:cs="Arial"/>
          <w:sz w:val="22"/>
          <w:szCs w:val="22"/>
        </w:rPr>
      </w:pPr>
      <w:r>
        <w:rPr>
          <w:noProof/>
          <w:lang w:eastAsia="en-NZ"/>
        </w:rPr>
        <w:drawing>
          <wp:inline distT="0" distB="0" distL="0" distR="0" wp14:anchorId="1575CD28" wp14:editId="247771C9">
            <wp:extent cx="5760137" cy="3552764"/>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6D4F" w:rsidRDefault="002C5F4F" w:rsidP="003259D9">
      <w:pPr>
        <w:spacing w:before="0" w:after="0" w:line="280" w:lineRule="atLeast"/>
        <w:rPr>
          <w:rFonts w:eastAsia="Times New Roman" w:cs="Arial"/>
          <w:sz w:val="22"/>
          <w:szCs w:val="22"/>
        </w:rPr>
      </w:pPr>
      <w:r>
        <w:rPr>
          <w:rFonts w:eastAsia="Times New Roman" w:cs="Arial"/>
          <w:sz w:val="22"/>
          <w:szCs w:val="22"/>
        </w:rPr>
        <w:lastRenderedPageBreak/>
        <w:t>Most</w:t>
      </w:r>
      <w:r w:rsidR="00A6579C">
        <w:rPr>
          <w:rFonts w:eastAsia="Times New Roman" w:cs="Arial"/>
          <w:sz w:val="22"/>
          <w:szCs w:val="22"/>
        </w:rPr>
        <w:t xml:space="preserve"> channels show small variations within the margin of error year on year with the exception of counter/face to face which shows a statistically significant decline from 2017/18 to 2018/19. Phone also shows a statistically significant decline when comparing the results over the last three years.</w:t>
      </w:r>
      <w:r w:rsidR="001D2F6E">
        <w:rPr>
          <w:rFonts w:eastAsia="Times New Roman" w:cs="Arial"/>
          <w:sz w:val="22"/>
          <w:szCs w:val="22"/>
        </w:rPr>
        <w:t xml:space="preserve"> Customer commentary suggests long waiting times and/or the lack of a queue hold/call-back feature as reasons for falling s</w:t>
      </w:r>
      <w:r w:rsidR="00587989">
        <w:rPr>
          <w:rFonts w:eastAsia="Times New Roman" w:cs="Arial"/>
          <w:sz w:val="22"/>
          <w:szCs w:val="22"/>
        </w:rPr>
        <w:t>atisfaction with phone services. Commentary relating to a lack of satisfaction with counter/face-to-face services is mainly related to convenience issues (opening hours, parking).</w:t>
      </w:r>
    </w:p>
    <w:p w:rsidR="00A6579C" w:rsidRDefault="00A6579C" w:rsidP="003259D9">
      <w:pPr>
        <w:spacing w:before="0" w:after="0" w:line="280" w:lineRule="atLeast"/>
        <w:rPr>
          <w:rFonts w:eastAsia="Times New Roman" w:cs="Arial"/>
          <w:sz w:val="22"/>
          <w:szCs w:val="22"/>
        </w:rPr>
      </w:pPr>
    </w:p>
    <w:p w:rsidR="00BD1CA7" w:rsidRDefault="00FE747A" w:rsidP="003259D9">
      <w:pPr>
        <w:spacing w:before="0" w:after="0" w:line="280" w:lineRule="atLeast"/>
        <w:rPr>
          <w:rFonts w:eastAsia="Times New Roman" w:cs="Arial"/>
          <w:sz w:val="22"/>
          <w:szCs w:val="22"/>
        </w:rPr>
      </w:pPr>
      <w:r>
        <w:rPr>
          <w:noProof/>
          <w:lang w:eastAsia="en-NZ"/>
        </w:rPr>
        <w:drawing>
          <wp:inline distT="0" distB="0" distL="0" distR="0" wp14:anchorId="63F3E922" wp14:editId="43544B29">
            <wp:extent cx="5760085" cy="3456051"/>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E747A" w:rsidRDefault="00FE747A" w:rsidP="003259D9">
      <w:pPr>
        <w:spacing w:before="0" w:after="0" w:line="280" w:lineRule="atLeast"/>
        <w:rPr>
          <w:rFonts w:eastAsia="Times New Roman" w:cs="Arial"/>
          <w:sz w:val="22"/>
          <w:szCs w:val="22"/>
        </w:rPr>
      </w:pPr>
    </w:p>
    <w:p w:rsidR="00413AF5" w:rsidRPr="00413AF5" w:rsidRDefault="00413AF5" w:rsidP="003259D9">
      <w:pPr>
        <w:spacing w:before="0" w:after="0" w:line="280" w:lineRule="atLeast"/>
        <w:rPr>
          <w:rFonts w:eastAsia="Times New Roman" w:cs="Arial"/>
          <w:sz w:val="22"/>
          <w:szCs w:val="22"/>
        </w:rPr>
      </w:pPr>
      <w:r>
        <w:rPr>
          <w:rFonts w:eastAsia="Times New Roman" w:cs="Arial"/>
          <w:sz w:val="22"/>
          <w:szCs w:val="22"/>
        </w:rPr>
        <w:t xml:space="preserve">The majority of customers continue to have high expectations of the level of service they will receive </w:t>
      </w:r>
      <w:r w:rsidRPr="00413AF5">
        <w:rPr>
          <w:rFonts w:eastAsia="Times New Roman" w:cs="Arial"/>
          <w:sz w:val="22"/>
          <w:szCs w:val="22"/>
          <w:u w:val="single"/>
        </w:rPr>
        <w:t>and</w:t>
      </w:r>
      <w:r>
        <w:rPr>
          <w:rFonts w:eastAsia="Times New Roman" w:cs="Arial"/>
          <w:sz w:val="22"/>
          <w:szCs w:val="22"/>
          <w:u w:val="single"/>
        </w:rPr>
        <w:t xml:space="preserve"> </w:t>
      </w:r>
      <w:r>
        <w:rPr>
          <w:rFonts w:eastAsia="Times New Roman" w:cs="Arial"/>
          <w:sz w:val="22"/>
          <w:szCs w:val="22"/>
        </w:rPr>
        <w:t>felt that the resulting service exceeded their expectations.</w:t>
      </w:r>
    </w:p>
    <w:p w:rsidR="00431B7C" w:rsidRPr="00665191" w:rsidRDefault="00431B7C" w:rsidP="003259D9">
      <w:pPr>
        <w:spacing w:before="0" w:after="0" w:line="280" w:lineRule="atLeast"/>
        <w:rPr>
          <w:rFonts w:eastAsia="Times New Roman" w:cs="Arial"/>
          <w:sz w:val="22"/>
          <w:szCs w:val="22"/>
        </w:rPr>
      </w:pPr>
    </w:p>
    <w:p w:rsidR="00990573" w:rsidRPr="00115E3B" w:rsidRDefault="003259D9" w:rsidP="00990573">
      <w:pPr>
        <w:spacing w:before="0" w:after="0" w:line="280" w:lineRule="atLeast"/>
        <w:rPr>
          <w:rFonts w:eastAsia="Times New Roman" w:cs="Arial"/>
          <w:b/>
          <w:sz w:val="22"/>
          <w:szCs w:val="22"/>
        </w:rPr>
      </w:pPr>
      <w:r w:rsidRPr="00115E3B">
        <w:rPr>
          <w:rFonts w:eastAsia="Times New Roman" w:cs="Arial"/>
          <w:b/>
          <w:sz w:val="22"/>
          <w:szCs w:val="22"/>
        </w:rPr>
        <w:t>Examples of positive feedback provided by customers:</w:t>
      </w:r>
    </w:p>
    <w:p w:rsidR="00A26D4F" w:rsidRDefault="00A26D4F" w:rsidP="00A26D4F">
      <w:pPr>
        <w:spacing w:before="0" w:after="0" w:line="280" w:lineRule="atLeast"/>
        <w:rPr>
          <w:rFonts w:eastAsia="Times New Roman" w:cs="Calibri"/>
          <w:i/>
          <w:sz w:val="22"/>
          <w:szCs w:val="22"/>
          <w:lang w:eastAsia="en-NZ"/>
        </w:rPr>
      </w:pPr>
    </w:p>
    <w:p w:rsidR="009279BB" w:rsidRDefault="003C482C" w:rsidP="009C4CFB">
      <w:pPr>
        <w:rPr>
          <w:rFonts w:eastAsia="Times New Roman" w:cs="Calibri"/>
          <w:i/>
          <w:sz w:val="22"/>
          <w:szCs w:val="22"/>
          <w:lang w:eastAsia="en-NZ"/>
        </w:rPr>
      </w:pPr>
      <w:r w:rsidRPr="003C482C">
        <w:rPr>
          <w:rFonts w:eastAsia="Times New Roman" w:cs="Calibri"/>
          <w:i/>
          <w:sz w:val="22"/>
          <w:szCs w:val="22"/>
          <w:lang w:eastAsia="en-NZ"/>
        </w:rPr>
        <w:t>I applied for citizenship and passport by descent. My application was handled at the Wellington branch. My mother, whom was born and raised in New Zealand, was able to lodge the application on my behalf as she was my sponsoring parent for the application. Staff were friendly, competent and very prompt in receiving and processing my application. Various e-mail and telephone communication for further details pertaining to my application was prompt and handled very competently. The good service from the staff significantly helped make the process very low stress.</w:t>
      </w:r>
    </w:p>
    <w:p w:rsidR="00F75A41" w:rsidRPr="00F75A41" w:rsidRDefault="00F75A41" w:rsidP="009C4CFB">
      <w:pPr>
        <w:rPr>
          <w:rFonts w:eastAsia="Times New Roman" w:cs="Calibri"/>
          <w:i/>
          <w:sz w:val="22"/>
          <w:szCs w:val="22"/>
          <w:lang w:eastAsia="en-NZ"/>
        </w:rPr>
      </w:pPr>
      <w:r w:rsidRPr="00F75A41">
        <w:rPr>
          <w:rFonts w:eastAsia="Times New Roman" w:cs="Calibri"/>
          <w:i/>
          <w:sz w:val="22"/>
          <w:szCs w:val="22"/>
          <w:lang w:eastAsia="en-NZ"/>
        </w:rPr>
        <w:t>Staff were very efficient and very helpful, they made me and my partner feel very relaxed throughout the whole process.</w:t>
      </w:r>
    </w:p>
    <w:p w:rsidR="00FC1054" w:rsidRDefault="00F75A41" w:rsidP="009C4CFB">
      <w:pPr>
        <w:rPr>
          <w:rFonts w:eastAsia="Times New Roman" w:cs="Calibri"/>
          <w:i/>
          <w:sz w:val="22"/>
          <w:szCs w:val="22"/>
          <w:lang w:eastAsia="en-NZ"/>
        </w:rPr>
      </w:pPr>
      <w:r w:rsidRPr="00F75A41">
        <w:rPr>
          <w:rFonts w:eastAsia="Times New Roman" w:cs="Calibri"/>
          <w:i/>
          <w:sz w:val="22"/>
          <w:szCs w:val="22"/>
          <w:lang w:eastAsia="en-NZ"/>
        </w:rPr>
        <w:t>Always happy to assist. I have had meetings and asked for assistance in many other matters. The staff in [location] are professional and very helpful. Our marae successfully obtained funding in 2015 for our wharekai, after 50 years without one, and we opened it in 2016. I highly recommend our [location] officers [name and name]. They are an asset to the DIA, and have been making greater efforts to work with our community.</w:t>
      </w:r>
    </w:p>
    <w:p w:rsidR="00FC1054" w:rsidRDefault="00FC1054">
      <w:pPr>
        <w:rPr>
          <w:rFonts w:eastAsia="Times New Roman" w:cs="Calibri"/>
          <w:i/>
          <w:sz w:val="22"/>
          <w:szCs w:val="22"/>
          <w:lang w:eastAsia="en-NZ"/>
        </w:rPr>
      </w:pPr>
      <w:r>
        <w:rPr>
          <w:rFonts w:eastAsia="Times New Roman" w:cs="Calibri"/>
          <w:i/>
          <w:sz w:val="22"/>
          <w:szCs w:val="22"/>
          <w:lang w:eastAsia="en-NZ"/>
        </w:rPr>
        <w:br w:type="page"/>
      </w: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lastRenderedPageBreak/>
        <w:t>Key Service Measures</w:t>
      </w:r>
    </w:p>
    <w:p w:rsidR="003259D9" w:rsidRPr="00665191" w:rsidRDefault="003259D9" w:rsidP="003259D9">
      <w:pPr>
        <w:spacing w:before="0" w:after="0" w:line="280" w:lineRule="atLeast"/>
        <w:rPr>
          <w:rFonts w:eastAsia="Times New Roman"/>
          <w:b/>
          <w:bCs/>
          <w:iCs/>
          <w:color w:val="4F81BD"/>
        </w:rPr>
      </w:pPr>
    </w:p>
    <w:p w:rsidR="001446F2" w:rsidRDefault="009279BB" w:rsidP="003259D9">
      <w:pPr>
        <w:spacing w:before="0" w:after="0" w:line="280" w:lineRule="atLeast"/>
        <w:rPr>
          <w:rFonts w:eastAsia="Times New Roman" w:cs="Arial"/>
          <w:sz w:val="22"/>
          <w:szCs w:val="22"/>
        </w:rPr>
      </w:pPr>
      <w:r w:rsidRPr="009279BB">
        <w:rPr>
          <w:rFonts w:eastAsia="Times New Roman" w:cs="Arial"/>
          <w:sz w:val="22"/>
          <w:szCs w:val="22"/>
        </w:rPr>
        <w:t>SDO customers</w:t>
      </w:r>
      <w:r>
        <w:rPr>
          <w:rFonts w:eastAsia="Times New Roman" w:cs="Arial"/>
          <w:sz w:val="22"/>
          <w:szCs w:val="22"/>
        </w:rPr>
        <w:t xml:space="preserve"> continue to rate key service measure highly</w:t>
      </w:r>
      <w:r w:rsidR="00BE6E50">
        <w:rPr>
          <w:rFonts w:eastAsia="Times New Roman" w:cs="Arial"/>
          <w:sz w:val="22"/>
          <w:szCs w:val="22"/>
        </w:rPr>
        <w:t xml:space="preserve">. All of these measures have had an increase over last year, with most being statistically significant. The survey does not give customers an opportunity to comment on why they have given a particular rating, but the majority of customers do say that these service measures are </w:t>
      </w:r>
      <w:r w:rsidR="006B7A2F">
        <w:rPr>
          <w:rFonts w:eastAsia="Times New Roman" w:cs="Arial"/>
          <w:sz w:val="22"/>
          <w:szCs w:val="22"/>
        </w:rPr>
        <w:t>v</w:t>
      </w:r>
      <w:r w:rsidR="00BE6E50">
        <w:rPr>
          <w:rFonts w:eastAsia="Times New Roman" w:cs="Arial"/>
          <w:sz w:val="22"/>
          <w:szCs w:val="22"/>
        </w:rPr>
        <w:t xml:space="preserve">ery important </w:t>
      </w:r>
      <w:r w:rsidR="006B7A2F">
        <w:rPr>
          <w:rFonts w:eastAsia="Times New Roman" w:cs="Arial"/>
          <w:sz w:val="22"/>
          <w:szCs w:val="22"/>
        </w:rPr>
        <w:t>(on a scale of 1 to 5, with 5 being very important) when giving a rating for overall quality of service received.</w:t>
      </w:r>
    </w:p>
    <w:p w:rsidR="00BE6E50" w:rsidRDefault="00BE6E50" w:rsidP="003259D9">
      <w:pPr>
        <w:spacing w:before="0" w:after="0" w:line="280" w:lineRule="atLeast"/>
        <w:rPr>
          <w:rFonts w:eastAsia="Times New Roman" w:cs="Arial"/>
          <w:sz w:val="22"/>
          <w:szCs w:val="22"/>
        </w:rPr>
      </w:pPr>
    </w:p>
    <w:p w:rsidR="00BE6E50" w:rsidRPr="009279BB" w:rsidRDefault="008C25A7" w:rsidP="003259D9">
      <w:pPr>
        <w:spacing w:before="0" w:after="0" w:line="280" w:lineRule="atLeast"/>
        <w:rPr>
          <w:rFonts w:eastAsia="Times New Roman" w:cs="Arial"/>
          <w:sz w:val="22"/>
          <w:szCs w:val="22"/>
        </w:rPr>
      </w:pPr>
      <w:r>
        <w:rPr>
          <w:noProof/>
          <w:lang w:eastAsia="en-NZ"/>
        </w:rPr>
        <w:drawing>
          <wp:inline distT="0" distB="0" distL="0" distR="0" wp14:anchorId="4967721A" wp14:editId="309CEDB3">
            <wp:extent cx="5760085" cy="345605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6F2" w:rsidRDefault="001446F2" w:rsidP="003259D9">
      <w:pPr>
        <w:spacing w:before="0" w:after="0" w:line="280" w:lineRule="atLeast"/>
        <w:rPr>
          <w:rFonts w:eastAsia="Times New Roman" w:cs="Arial"/>
          <w:sz w:val="18"/>
          <w:szCs w:val="18"/>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 xml:space="preserve">Ease </w:t>
      </w:r>
      <w:r w:rsidR="00BC1A9B">
        <w:rPr>
          <w:rFonts w:eastAsia="Times New Roman"/>
          <w:b/>
          <w:bCs/>
          <w:i/>
          <w:iCs/>
          <w:color w:val="4F81BD"/>
        </w:rPr>
        <w:t xml:space="preserve">of </w:t>
      </w:r>
      <w:r w:rsidR="00A3549D">
        <w:rPr>
          <w:rFonts w:eastAsia="Times New Roman"/>
          <w:b/>
          <w:bCs/>
          <w:i/>
          <w:iCs/>
          <w:color w:val="4F81BD"/>
        </w:rPr>
        <w:t>doing business with DIA</w:t>
      </w:r>
    </w:p>
    <w:p w:rsidR="003259D9" w:rsidRPr="00665191" w:rsidRDefault="003259D9" w:rsidP="003259D9">
      <w:pPr>
        <w:spacing w:before="0" w:after="0" w:line="280" w:lineRule="atLeast"/>
        <w:rPr>
          <w:rFonts w:eastAsia="Times New Roman" w:cs="Arial"/>
          <w:sz w:val="22"/>
          <w:szCs w:val="22"/>
        </w:rPr>
      </w:pPr>
    </w:p>
    <w:p w:rsidR="00FC1054" w:rsidRDefault="00E90D7C" w:rsidP="003259D9">
      <w:pPr>
        <w:spacing w:before="0" w:after="0" w:line="280" w:lineRule="atLeast"/>
        <w:rPr>
          <w:rFonts w:eastAsia="Times New Roman" w:cs="Arial"/>
          <w:sz w:val="22"/>
          <w:szCs w:val="22"/>
        </w:rPr>
      </w:pPr>
      <w:r>
        <w:rPr>
          <w:rFonts w:eastAsia="Times New Roman" w:cs="Arial"/>
          <w:sz w:val="22"/>
          <w:szCs w:val="22"/>
        </w:rPr>
        <w:t xml:space="preserve">Overall, 86 percent of SDO customers say it is easy to do business with us. This number has remained consistent for the last few years. Most of the business units that make up SDO show small variations within the margin of </w:t>
      </w:r>
      <w:r w:rsidR="00FC1054">
        <w:rPr>
          <w:rFonts w:eastAsia="Times New Roman" w:cs="Arial"/>
          <w:sz w:val="22"/>
          <w:szCs w:val="22"/>
        </w:rPr>
        <w:t>error.</w:t>
      </w:r>
    </w:p>
    <w:p w:rsidR="00FC1054" w:rsidRDefault="00FC1054" w:rsidP="003259D9">
      <w:pPr>
        <w:spacing w:before="0" w:after="0" w:line="280" w:lineRule="atLeast"/>
        <w:rPr>
          <w:rFonts w:eastAsia="Times New Roman" w:cs="Arial"/>
          <w:sz w:val="22"/>
          <w:szCs w:val="22"/>
        </w:rPr>
      </w:pPr>
    </w:p>
    <w:p w:rsidR="00FC1054" w:rsidRDefault="00E90D7C" w:rsidP="003259D9">
      <w:pPr>
        <w:spacing w:before="0" w:after="0" w:line="280" w:lineRule="atLeast"/>
        <w:rPr>
          <w:rFonts w:eastAsia="Times New Roman" w:cs="Arial"/>
          <w:sz w:val="22"/>
          <w:szCs w:val="22"/>
        </w:rPr>
      </w:pPr>
      <w:r>
        <w:rPr>
          <w:rFonts w:eastAsia="Times New Roman" w:cs="Arial"/>
          <w:sz w:val="22"/>
          <w:szCs w:val="22"/>
        </w:rPr>
        <w:t>Charities Services shows a strong improvement in this measure over last years’ results</w:t>
      </w:r>
      <w:r w:rsidR="00B77D41">
        <w:rPr>
          <w:rFonts w:eastAsia="Times New Roman" w:cs="Arial"/>
          <w:sz w:val="22"/>
          <w:szCs w:val="22"/>
        </w:rPr>
        <w:t xml:space="preserve">. Charities Services implemented a new operating model, which focuses on a modern, responsive, risk based approach. As a result, many processes have become more streamlined. They have also had a focus on reducing the timeframes for key decisions. </w:t>
      </w:r>
      <w:bookmarkStart w:id="0" w:name="_GoBack"/>
      <w:bookmarkEnd w:id="0"/>
    </w:p>
    <w:p w:rsidR="00FC1054" w:rsidRDefault="00FC1054" w:rsidP="003259D9">
      <w:pPr>
        <w:spacing w:before="0" w:after="0" w:line="280" w:lineRule="atLeast"/>
        <w:rPr>
          <w:rFonts w:eastAsia="Times New Roman" w:cs="Arial"/>
          <w:sz w:val="22"/>
          <w:szCs w:val="22"/>
        </w:rPr>
      </w:pPr>
    </w:p>
    <w:p w:rsidR="00B127B7" w:rsidRDefault="00B127B7" w:rsidP="003259D9">
      <w:pPr>
        <w:spacing w:before="0" w:after="0" w:line="280" w:lineRule="atLeast"/>
        <w:rPr>
          <w:rFonts w:eastAsia="Times New Roman" w:cs="Arial"/>
          <w:sz w:val="22"/>
          <w:szCs w:val="22"/>
        </w:rPr>
      </w:pPr>
      <w:r>
        <w:rPr>
          <w:rFonts w:eastAsia="Times New Roman" w:cs="Arial"/>
          <w:sz w:val="22"/>
          <w:szCs w:val="22"/>
        </w:rPr>
        <w:t>Community Operations has had a significant drop in this measure after an equally significant rise last year.</w:t>
      </w:r>
      <w:r w:rsidR="00F85B71">
        <w:rPr>
          <w:rFonts w:eastAsia="Times New Roman" w:cs="Arial"/>
          <w:b/>
          <w:sz w:val="22"/>
          <w:szCs w:val="22"/>
        </w:rPr>
        <w:t xml:space="preserve"> </w:t>
      </w:r>
      <w:r w:rsidR="00F85B71">
        <w:rPr>
          <w:rFonts w:eastAsia="Times New Roman" w:cs="Arial"/>
          <w:sz w:val="22"/>
          <w:szCs w:val="22"/>
        </w:rPr>
        <w:t>The results suggest that the improvements last year have now become the expectation, but will be monitored more closely for greater understanding. Further analysis into ease</w:t>
      </w:r>
      <w:r w:rsidR="00FC1054">
        <w:rPr>
          <w:rFonts w:eastAsia="Times New Roman" w:cs="Arial"/>
          <w:sz w:val="22"/>
          <w:szCs w:val="22"/>
        </w:rPr>
        <w:t xml:space="preserve"> of doing business</w:t>
      </w:r>
      <w:r w:rsidR="00F85B71">
        <w:rPr>
          <w:rFonts w:eastAsia="Times New Roman" w:cs="Arial"/>
          <w:sz w:val="22"/>
          <w:szCs w:val="22"/>
        </w:rPr>
        <w:t xml:space="preserve"> results</w:t>
      </w:r>
      <w:r w:rsidR="00FC1054">
        <w:rPr>
          <w:rFonts w:eastAsia="Times New Roman" w:cs="Arial"/>
          <w:sz w:val="22"/>
          <w:szCs w:val="22"/>
        </w:rPr>
        <w:t>,</w:t>
      </w:r>
      <w:r w:rsidR="00F85B71">
        <w:rPr>
          <w:rFonts w:eastAsia="Times New Roman" w:cs="Arial"/>
          <w:sz w:val="22"/>
          <w:szCs w:val="22"/>
        </w:rPr>
        <w:t xml:space="preserve"> based on the size of organisations, length of time or</w:t>
      </w:r>
      <w:r w:rsidR="00FC1054">
        <w:rPr>
          <w:rFonts w:eastAsia="Times New Roman" w:cs="Arial"/>
          <w:sz w:val="22"/>
          <w:szCs w:val="22"/>
        </w:rPr>
        <w:t xml:space="preserve">ganisations have been operating </w:t>
      </w:r>
      <w:r w:rsidR="00F85B71">
        <w:rPr>
          <w:rFonts w:eastAsia="Times New Roman" w:cs="Arial"/>
          <w:sz w:val="22"/>
          <w:szCs w:val="22"/>
        </w:rPr>
        <w:t xml:space="preserve"> and the types of funding these organisations access will be carried out to better understand how we can improve the service experience </w:t>
      </w:r>
      <w:r w:rsidR="001E2210">
        <w:rPr>
          <w:rFonts w:eastAsia="Times New Roman" w:cs="Arial"/>
          <w:sz w:val="22"/>
          <w:szCs w:val="22"/>
        </w:rPr>
        <w:t>for different types of organisations.</w:t>
      </w:r>
    </w:p>
    <w:p w:rsidR="00B127B7" w:rsidRDefault="00BE4B0B" w:rsidP="003259D9">
      <w:pPr>
        <w:spacing w:before="0" w:after="0" w:line="280" w:lineRule="atLeast"/>
        <w:rPr>
          <w:rFonts w:eastAsia="Times New Roman" w:cs="Arial"/>
          <w:sz w:val="22"/>
          <w:szCs w:val="22"/>
        </w:rPr>
      </w:pPr>
      <w:r>
        <w:rPr>
          <w:noProof/>
          <w:lang w:eastAsia="en-NZ"/>
        </w:rPr>
        <w:lastRenderedPageBreak/>
        <w:drawing>
          <wp:inline distT="0" distB="0" distL="0" distR="0" wp14:anchorId="76BEF3C9" wp14:editId="090C638B">
            <wp:extent cx="5760085" cy="3456051"/>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27B7" w:rsidRDefault="00B127B7" w:rsidP="003259D9">
      <w:pPr>
        <w:spacing w:before="0" w:after="0" w:line="280" w:lineRule="atLeast"/>
        <w:rPr>
          <w:rFonts w:eastAsia="Times New Roman" w:cs="Arial"/>
          <w:sz w:val="22"/>
          <w:szCs w:val="22"/>
        </w:rPr>
      </w:pPr>
    </w:p>
    <w:p w:rsidR="00B127B7" w:rsidRDefault="00B127B7" w:rsidP="003259D9">
      <w:pPr>
        <w:spacing w:before="0" w:after="0" w:line="280" w:lineRule="atLeast"/>
        <w:rPr>
          <w:rFonts w:eastAsia="Times New Roman" w:cs="Arial"/>
          <w:sz w:val="22"/>
          <w:szCs w:val="22"/>
        </w:rPr>
      </w:pPr>
      <w:r>
        <w:rPr>
          <w:rFonts w:eastAsia="Times New Roman" w:cs="Arial"/>
          <w:sz w:val="22"/>
          <w:szCs w:val="22"/>
        </w:rPr>
        <w:t>For the first time, we have explored how customers rate ease of doing business by service channel.</w:t>
      </w:r>
      <w:r w:rsidR="006416C0">
        <w:rPr>
          <w:rFonts w:eastAsia="Times New Roman" w:cs="Arial"/>
          <w:sz w:val="22"/>
          <w:szCs w:val="22"/>
        </w:rPr>
        <w:t xml:space="preserve"> Customers rate interactions online and via phone as slightly easier than interactions via post or in person at our counter sites.</w:t>
      </w:r>
    </w:p>
    <w:p w:rsidR="00B127B7" w:rsidRDefault="00B127B7" w:rsidP="003259D9">
      <w:pPr>
        <w:spacing w:before="0" w:after="0" w:line="280" w:lineRule="atLeast"/>
        <w:rPr>
          <w:rFonts w:eastAsia="Times New Roman" w:cs="Arial"/>
          <w:sz w:val="22"/>
          <w:szCs w:val="22"/>
        </w:rPr>
      </w:pPr>
    </w:p>
    <w:p w:rsidR="00767ADD" w:rsidRPr="00FC1054" w:rsidRDefault="00BE4B0B" w:rsidP="00767ADD">
      <w:pPr>
        <w:spacing w:before="0" w:after="0" w:line="280" w:lineRule="atLeast"/>
        <w:rPr>
          <w:rFonts w:eastAsia="Times New Roman" w:cs="Arial"/>
          <w:sz w:val="22"/>
          <w:szCs w:val="22"/>
        </w:rPr>
      </w:pPr>
      <w:r>
        <w:rPr>
          <w:noProof/>
          <w:lang w:eastAsia="en-NZ"/>
        </w:rPr>
        <w:drawing>
          <wp:inline distT="0" distB="0" distL="0" distR="0" wp14:anchorId="21C7E01D" wp14:editId="323A8130">
            <wp:extent cx="5760085" cy="3456051"/>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C1054" w:rsidRDefault="00FC1054">
      <w:pPr>
        <w:rPr>
          <w:rFonts w:eastAsia="Times New Roman"/>
          <w:b/>
          <w:bCs/>
          <w:i/>
          <w:iCs/>
          <w:color w:val="4F81BD"/>
        </w:rPr>
      </w:pPr>
      <w:r>
        <w:rPr>
          <w:rFonts w:eastAsia="Times New Roman"/>
          <w:b/>
          <w:bCs/>
          <w:i/>
          <w:iCs/>
          <w:color w:val="4F81BD"/>
        </w:rPr>
        <w:br w:type="page"/>
      </w:r>
    </w:p>
    <w:p w:rsidR="00767ADD" w:rsidRPr="001446F2" w:rsidRDefault="00767ADD" w:rsidP="00767ADD">
      <w:pPr>
        <w:spacing w:before="0" w:after="0" w:line="280" w:lineRule="atLeast"/>
        <w:rPr>
          <w:rFonts w:eastAsia="Times New Roman" w:cs="Arial"/>
          <w:sz w:val="18"/>
          <w:szCs w:val="18"/>
        </w:rPr>
      </w:pPr>
      <w:r w:rsidRPr="00665191">
        <w:rPr>
          <w:rFonts w:eastAsia="Times New Roman"/>
          <w:b/>
          <w:bCs/>
          <w:i/>
          <w:iCs/>
          <w:color w:val="4F81BD"/>
        </w:rPr>
        <w:lastRenderedPageBreak/>
        <w:t>Trust and Confidence</w:t>
      </w:r>
    </w:p>
    <w:p w:rsidR="00767ADD" w:rsidRPr="00665191" w:rsidRDefault="00767ADD" w:rsidP="00767ADD">
      <w:pPr>
        <w:spacing w:before="0" w:after="0" w:line="280" w:lineRule="atLeast"/>
        <w:rPr>
          <w:rFonts w:eastAsia="Times New Roman"/>
          <w:b/>
          <w:bCs/>
          <w:iCs/>
          <w:color w:val="4F81BD"/>
        </w:rPr>
      </w:pPr>
    </w:p>
    <w:p w:rsidR="00767ADD" w:rsidRDefault="00767ADD" w:rsidP="00767ADD">
      <w:pPr>
        <w:spacing w:before="0" w:after="0" w:line="280" w:lineRule="atLeast"/>
        <w:rPr>
          <w:rFonts w:eastAsia="Times New Roman" w:cs="Arial"/>
          <w:b/>
          <w:sz w:val="22"/>
          <w:szCs w:val="22"/>
        </w:rPr>
      </w:pPr>
      <w:r>
        <w:rPr>
          <w:rFonts w:eastAsia="Times New Roman" w:cs="Arial"/>
          <w:sz w:val="22"/>
          <w:szCs w:val="22"/>
        </w:rPr>
        <w:t xml:space="preserve">SDO customers continue to report high trust and confidence in the Department of Internal affairs. The slightly lower scores for Charities Services and Community Operations Services reflect the more complex regulatory nature of these areas of the business. </w:t>
      </w:r>
    </w:p>
    <w:p w:rsidR="00767ADD" w:rsidRPr="00665191" w:rsidRDefault="00767ADD" w:rsidP="00767ADD">
      <w:pPr>
        <w:spacing w:before="0" w:after="0" w:line="280" w:lineRule="atLeast"/>
        <w:rPr>
          <w:rFonts w:eastAsia="Times New Roman" w:cs="Arial"/>
          <w:sz w:val="22"/>
          <w:szCs w:val="22"/>
        </w:rPr>
      </w:pPr>
    </w:p>
    <w:p w:rsidR="00767ADD" w:rsidRDefault="00767ADD" w:rsidP="00767ADD">
      <w:pPr>
        <w:spacing w:before="0" w:after="0" w:line="280" w:lineRule="atLeast"/>
        <w:rPr>
          <w:rFonts w:eastAsia="Times New Roman" w:cs="Arial"/>
          <w:sz w:val="18"/>
          <w:szCs w:val="18"/>
        </w:rPr>
      </w:pPr>
      <w:r>
        <w:rPr>
          <w:noProof/>
          <w:lang w:eastAsia="en-NZ"/>
        </w:rPr>
        <w:drawing>
          <wp:inline distT="0" distB="0" distL="0" distR="0" wp14:anchorId="10DF42B6" wp14:editId="600EF95C">
            <wp:extent cx="5760085" cy="345605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7ADD" w:rsidRDefault="00767ADD" w:rsidP="00767ADD">
      <w:pPr>
        <w:spacing w:before="0" w:after="0" w:line="280" w:lineRule="atLeast"/>
        <w:rPr>
          <w:rFonts w:eastAsia="Times New Roman" w:cs="Arial"/>
          <w:sz w:val="18"/>
          <w:szCs w:val="18"/>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t>Service Improvements</w:t>
      </w:r>
    </w:p>
    <w:p w:rsidR="003259D9" w:rsidRPr="00665191" w:rsidRDefault="003259D9" w:rsidP="003259D9">
      <w:pPr>
        <w:spacing w:before="0" w:after="0" w:line="280" w:lineRule="atLeast"/>
        <w:rPr>
          <w:rFonts w:eastAsia="Times New Roman" w:cs="Arial"/>
        </w:rPr>
      </w:pPr>
    </w:p>
    <w:p w:rsidR="003259D9" w:rsidRPr="00C42C1C" w:rsidRDefault="00617B89" w:rsidP="003259D9">
      <w:pPr>
        <w:spacing w:before="0" w:after="0" w:line="280" w:lineRule="atLeast"/>
        <w:rPr>
          <w:rFonts w:eastAsia="Times New Roman" w:cs="Arial"/>
          <w:sz w:val="22"/>
          <w:szCs w:val="22"/>
        </w:rPr>
      </w:pPr>
      <w:r>
        <w:rPr>
          <w:rFonts w:eastAsia="Times New Roman" w:cs="Arial"/>
          <w:sz w:val="22"/>
          <w:szCs w:val="22"/>
        </w:rPr>
        <w:t>30% (778/2596) of customers felt that SDO could make</w:t>
      </w:r>
      <w:r w:rsidR="00B317C1">
        <w:rPr>
          <w:rFonts w:eastAsia="Times New Roman" w:cs="Arial"/>
          <w:sz w:val="22"/>
          <w:szCs w:val="22"/>
        </w:rPr>
        <w:t xml:space="preserve"> some form of improvement</w:t>
      </w:r>
      <w:r>
        <w:rPr>
          <w:rFonts w:eastAsia="Times New Roman" w:cs="Arial"/>
          <w:sz w:val="22"/>
          <w:szCs w:val="22"/>
        </w:rPr>
        <w:t xml:space="preserve"> to our service. This is a drop of over 10% from 2017/18</w:t>
      </w:r>
      <w:r w:rsidR="00B317C1">
        <w:rPr>
          <w:rFonts w:eastAsia="Times New Roman" w:cs="Arial"/>
          <w:sz w:val="22"/>
          <w:szCs w:val="22"/>
        </w:rPr>
        <w:t xml:space="preserve">. </w:t>
      </w:r>
      <w:r w:rsidR="00C42C1C">
        <w:rPr>
          <w:rFonts w:eastAsia="Times New Roman" w:cs="Arial"/>
          <w:sz w:val="22"/>
          <w:szCs w:val="22"/>
        </w:rPr>
        <w:t>Some of this drop was due to an increase in the amount of respondents who answered ‘don’t know’, or refused to answer the question.</w:t>
      </w:r>
    </w:p>
    <w:p w:rsidR="00617B89" w:rsidRDefault="00617B89" w:rsidP="003259D9">
      <w:pPr>
        <w:spacing w:before="0" w:after="0" w:line="280" w:lineRule="atLeast"/>
        <w:rPr>
          <w:rFonts w:eastAsia="Times New Roman" w:cs="Arial"/>
          <w:sz w:val="22"/>
          <w:szCs w:val="22"/>
        </w:rPr>
      </w:pPr>
    </w:p>
    <w:p w:rsidR="00B317C1" w:rsidRDefault="00B317C1" w:rsidP="003259D9">
      <w:pPr>
        <w:spacing w:before="0" w:after="0" w:line="280" w:lineRule="atLeast"/>
        <w:rPr>
          <w:rFonts w:eastAsia="Times New Roman" w:cs="Arial"/>
          <w:sz w:val="22"/>
          <w:szCs w:val="22"/>
        </w:rPr>
      </w:pPr>
      <w:r>
        <w:rPr>
          <w:rFonts w:eastAsia="Times New Roman" w:cs="Arial"/>
          <w:sz w:val="22"/>
          <w:szCs w:val="22"/>
        </w:rPr>
        <w:t xml:space="preserve">Of those who did respond to this question, the largest group was again those who suggested we make improvements to our website (e.g. more user friendly, offer more services online). </w:t>
      </w:r>
      <w:r w:rsidR="00FC1054">
        <w:rPr>
          <w:rFonts w:eastAsia="Times New Roman" w:cs="Arial"/>
          <w:sz w:val="22"/>
          <w:szCs w:val="22"/>
        </w:rPr>
        <w:t xml:space="preserve"> Other common suggestions were the ability for customers to have more visibility of the status their application/service request and that we should know more about our customers – they feel we should </w:t>
      </w:r>
      <w:r w:rsidR="00C11EF5">
        <w:rPr>
          <w:rFonts w:eastAsia="Times New Roman" w:cs="Arial"/>
          <w:sz w:val="22"/>
          <w:szCs w:val="22"/>
        </w:rPr>
        <w:t xml:space="preserve">not </w:t>
      </w:r>
      <w:r w:rsidR="00FC1054">
        <w:rPr>
          <w:rFonts w:eastAsia="Times New Roman" w:cs="Arial"/>
          <w:sz w:val="22"/>
          <w:szCs w:val="22"/>
        </w:rPr>
        <w:t xml:space="preserve">have to ask again for information we have asked </w:t>
      </w:r>
      <w:r w:rsidR="00C11EF5">
        <w:rPr>
          <w:rFonts w:eastAsia="Times New Roman" w:cs="Arial"/>
          <w:sz w:val="22"/>
          <w:szCs w:val="22"/>
        </w:rPr>
        <w:t>for previously.</w:t>
      </w:r>
    </w:p>
    <w:p w:rsidR="00E477AC" w:rsidRDefault="00E477AC" w:rsidP="00115E3B">
      <w:pPr>
        <w:spacing w:before="0" w:after="0" w:line="280" w:lineRule="atLeast"/>
        <w:rPr>
          <w:rFonts w:eastAsia="Times New Roman" w:cs="Arial"/>
          <w:b/>
          <w:sz w:val="22"/>
          <w:szCs w:val="22"/>
        </w:rPr>
      </w:pPr>
    </w:p>
    <w:p w:rsidR="00115E3B" w:rsidRDefault="003259D9" w:rsidP="00115E3B">
      <w:pPr>
        <w:spacing w:before="0" w:after="0" w:line="280" w:lineRule="atLeast"/>
        <w:rPr>
          <w:rFonts w:eastAsia="Times New Roman" w:cs="Arial"/>
          <w:b/>
          <w:sz w:val="22"/>
          <w:szCs w:val="22"/>
        </w:rPr>
      </w:pPr>
      <w:r w:rsidRPr="00115E3B">
        <w:rPr>
          <w:rFonts w:eastAsia="Times New Roman" w:cs="Arial"/>
          <w:b/>
          <w:sz w:val="22"/>
          <w:szCs w:val="22"/>
        </w:rPr>
        <w:t>Examples of the types of comments received from customers regarding improvement are:</w:t>
      </w:r>
    </w:p>
    <w:p w:rsidR="00115E3B" w:rsidRDefault="00115E3B" w:rsidP="00115E3B">
      <w:pPr>
        <w:spacing w:before="0" w:after="0" w:line="280" w:lineRule="atLeast"/>
        <w:rPr>
          <w:rFonts w:eastAsia="Times New Roman" w:cs="Arial"/>
          <w:b/>
          <w:sz w:val="22"/>
          <w:szCs w:val="22"/>
        </w:rPr>
      </w:pPr>
    </w:p>
    <w:p w:rsidR="00E12005" w:rsidRDefault="001A45F9" w:rsidP="003259D9">
      <w:pPr>
        <w:spacing w:before="0" w:after="0" w:line="280" w:lineRule="atLeast"/>
        <w:rPr>
          <w:rFonts w:eastAsia="Times New Roman" w:cs="Calibri"/>
          <w:i/>
          <w:sz w:val="22"/>
          <w:szCs w:val="22"/>
          <w:lang w:eastAsia="en-NZ"/>
        </w:rPr>
      </w:pPr>
      <w:r w:rsidRPr="001A45F9">
        <w:rPr>
          <w:rFonts w:eastAsia="Times New Roman" w:cs="Calibri"/>
          <w:i/>
          <w:sz w:val="22"/>
          <w:szCs w:val="22"/>
          <w:lang w:eastAsia="en-NZ"/>
        </w:rPr>
        <w:t>It would be great if it pre-populated your information based on what you already know about me, i.e. my passport number. However if this is a safety feature to reduce fraud then by all means put barriers up!</w:t>
      </w:r>
    </w:p>
    <w:p w:rsidR="00133156" w:rsidRDefault="00133156" w:rsidP="003259D9">
      <w:pPr>
        <w:spacing w:before="0" w:after="0" w:line="280" w:lineRule="atLeast"/>
        <w:rPr>
          <w:rFonts w:eastAsia="Times New Roman" w:cs="Calibri"/>
          <w:i/>
          <w:sz w:val="22"/>
          <w:szCs w:val="22"/>
          <w:lang w:eastAsia="en-NZ"/>
        </w:rPr>
      </w:pPr>
    </w:p>
    <w:p w:rsidR="00133156" w:rsidRDefault="00133156" w:rsidP="003259D9">
      <w:pPr>
        <w:spacing w:before="0" w:after="0" w:line="280" w:lineRule="atLeast"/>
        <w:rPr>
          <w:rFonts w:eastAsia="Times New Roman" w:cs="Calibri"/>
          <w:i/>
          <w:sz w:val="22"/>
          <w:szCs w:val="22"/>
          <w:lang w:eastAsia="en-NZ"/>
        </w:rPr>
      </w:pPr>
      <w:r w:rsidRPr="00133156">
        <w:rPr>
          <w:rFonts w:eastAsia="Times New Roman" w:cs="Calibri"/>
          <w:i/>
          <w:sz w:val="22"/>
          <w:szCs w:val="22"/>
          <w:lang w:eastAsia="en-NZ"/>
        </w:rPr>
        <w:t>Probably work on their website so it flows better and also, I couldn't access it on my phone. It didn't work on my phone and I had to use the computer, which was a little bit annoying for me. I didn't always have access to a computer.</w:t>
      </w:r>
    </w:p>
    <w:p w:rsidR="00133156" w:rsidRDefault="00133156" w:rsidP="003259D9">
      <w:pPr>
        <w:spacing w:before="0" w:after="0" w:line="280" w:lineRule="atLeast"/>
        <w:rPr>
          <w:rFonts w:eastAsia="Times New Roman" w:cs="Calibri"/>
          <w:i/>
          <w:sz w:val="22"/>
          <w:szCs w:val="22"/>
          <w:lang w:eastAsia="en-NZ"/>
        </w:rPr>
      </w:pPr>
    </w:p>
    <w:p w:rsidR="00886360" w:rsidRPr="00FC1054" w:rsidRDefault="00133156" w:rsidP="00E12005">
      <w:pPr>
        <w:spacing w:before="0" w:after="0" w:line="280" w:lineRule="atLeast"/>
        <w:rPr>
          <w:rFonts w:eastAsia="Times New Roman" w:cs="Calibri"/>
          <w:i/>
          <w:sz w:val="22"/>
          <w:szCs w:val="22"/>
          <w:lang w:eastAsia="en-NZ"/>
        </w:rPr>
      </w:pPr>
      <w:r w:rsidRPr="00133156">
        <w:rPr>
          <w:rFonts w:eastAsia="Times New Roman" w:cs="Calibri"/>
          <w:i/>
          <w:sz w:val="22"/>
          <w:szCs w:val="22"/>
          <w:lang w:eastAsia="en-NZ"/>
        </w:rPr>
        <w:t>Would be helpful if you could check status of application online.</w:t>
      </w:r>
    </w:p>
    <w:p w:rsidR="00C11EF5" w:rsidRDefault="00C11EF5">
      <w:pPr>
        <w:rPr>
          <w:rFonts w:eastAsia="Times New Roman"/>
          <w:b/>
          <w:i/>
          <w:iCs/>
          <w:color w:val="4F81BD"/>
        </w:rPr>
      </w:pPr>
      <w:r>
        <w:rPr>
          <w:rFonts w:eastAsia="Times New Roman"/>
          <w:b/>
          <w:i/>
          <w:iCs/>
          <w:color w:val="4F81BD"/>
        </w:rPr>
        <w:br w:type="page"/>
      </w:r>
    </w:p>
    <w:p w:rsidR="00FC1054" w:rsidRPr="00C4075A" w:rsidRDefault="00FC1054" w:rsidP="00FC1054">
      <w:pPr>
        <w:rPr>
          <w:rFonts w:eastAsia="Times New Roman"/>
          <w:b/>
          <w:i/>
          <w:iCs/>
          <w:color w:val="4F81BD"/>
        </w:rPr>
      </w:pPr>
      <w:r w:rsidRPr="00C4075A">
        <w:rPr>
          <w:rFonts w:eastAsia="Times New Roman"/>
          <w:b/>
          <w:i/>
          <w:iCs/>
          <w:color w:val="4F81BD"/>
        </w:rPr>
        <w:lastRenderedPageBreak/>
        <w:t>Intro</w:t>
      </w:r>
      <w:r>
        <w:rPr>
          <w:rFonts w:eastAsia="Times New Roman"/>
          <w:b/>
          <w:i/>
          <w:iCs/>
          <w:color w:val="4F81BD"/>
        </w:rPr>
        <w:t>duction</w:t>
      </w:r>
      <w:r w:rsidRPr="00C4075A">
        <w:rPr>
          <w:rFonts w:eastAsia="Times New Roman"/>
          <w:b/>
          <w:i/>
          <w:iCs/>
          <w:color w:val="4F81BD"/>
        </w:rPr>
        <w:t xml:space="preserve"> to</w:t>
      </w:r>
      <w:r>
        <w:rPr>
          <w:rFonts w:eastAsia="Times New Roman"/>
          <w:b/>
          <w:i/>
          <w:iCs/>
          <w:color w:val="4F81BD"/>
        </w:rPr>
        <w:t xml:space="preserve"> the</w:t>
      </w:r>
      <w:r w:rsidRPr="00C4075A">
        <w:rPr>
          <w:rFonts w:eastAsia="Times New Roman"/>
          <w:b/>
          <w:i/>
          <w:iCs/>
          <w:color w:val="4F81BD"/>
        </w:rPr>
        <w:t xml:space="preserve"> digital module</w:t>
      </w:r>
    </w:p>
    <w:p w:rsidR="00FC1054" w:rsidRDefault="00FC1054" w:rsidP="00FC1054">
      <w:pPr>
        <w:spacing w:before="0" w:after="0" w:line="280" w:lineRule="atLeast"/>
        <w:rPr>
          <w:rFonts w:eastAsia="Times New Roman" w:cs="Arial"/>
          <w:sz w:val="22"/>
          <w:szCs w:val="22"/>
        </w:rPr>
      </w:pPr>
      <w:r>
        <w:rPr>
          <w:rFonts w:eastAsia="Times New Roman" w:cs="Arial"/>
          <w:sz w:val="22"/>
          <w:szCs w:val="22"/>
        </w:rPr>
        <w:t>In April</w:t>
      </w:r>
      <w:r w:rsidRPr="00C4075A">
        <w:rPr>
          <w:rFonts w:eastAsia="Times New Roman" w:cs="Arial"/>
          <w:sz w:val="22"/>
          <w:szCs w:val="22"/>
        </w:rPr>
        <w:t xml:space="preserve"> 2019 </w:t>
      </w:r>
      <w:r>
        <w:rPr>
          <w:rFonts w:eastAsia="Times New Roman" w:cs="Arial"/>
          <w:sz w:val="22"/>
          <w:szCs w:val="22"/>
        </w:rPr>
        <w:t xml:space="preserve">a new digital services module </w:t>
      </w:r>
      <w:r w:rsidRPr="00C4075A">
        <w:rPr>
          <w:rFonts w:eastAsia="Times New Roman" w:cs="Arial"/>
          <w:sz w:val="22"/>
          <w:szCs w:val="22"/>
        </w:rPr>
        <w:t xml:space="preserve">was introduced </w:t>
      </w:r>
      <w:r>
        <w:rPr>
          <w:rFonts w:eastAsia="Times New Roman" w:cs="Arial"/>
          <w:sz w:val="22"/>
          <w:szCs w:val="22"/>
        </w:rPr>
        <w:t>to the survey — the questions of this module aimed to understand recent customer’s use and attitudes toward SDO’s</w:t>
      </w:r>
      <w:r w:rsidRPr="0008465B">
        <w:rPr>
          <w:rFonts w:eastAsia="Times New Roman" w:cs="Arial"/>
          <w:sz w:val="22"/>
          <w:szCs w:val="22"/>
        </w:rPr>
        <w:t xml:space="preserve"> </w:t>
      </w:r>
      <w:r>
        <w:rPr>
          <w:rFonts w:eastAsia="Times New Roman" w:cs="Arial"/>
          <w:sz w:val="22"/>
          <w:szCs w:val="22"/>
        </w:rPr>
        <w:t>digital services. T</w:t>
      </w:r>
      <w:r w:rsidRPr="00C4075A">
        <w:rPr>
          <w:rFonts w:eastAsia="Times New Roman" w:cs="Arial"/>
          <w:sz w:val="22"/>
          <w:szCs w:val="22"/>
        </w:rPr>
        <w:t xml:space="preserve">his </w:t>
      </w:r>
      <w:r>
        <w:rPr>
          <w:rFonts w:eastAsia="Times New Roman" w:cs="Arial"/>
          <w:sz w:val="22"/>
          <w:szCs w:val="22"/>
        </w:rPr>
        <w:t xml:space="preserve">digital module was only included during the </w:t>
      </w:r>
      <w:r w:rsidRPr="000C3FC0">
        <w:rPr>
          <w:rFonts w:eastAsia="Times New Roman" w:cs="Arial"/>
          <w:sz w:val="22"/>
          <w:szCs w:val="22"/>
        </w:rPr>
        <w:t>April -June 2019 quarter</w:t>
      </w:r>
      <w:r>
        <w:rPr>
          <w:rFonts w:eastAsia="Times New Roman" w:cs="Arial"/>
          <w:sz w:val="22"/>
          <w:szCs w:val="22"/>
        </w:rPr>
        <w:t xml:space="preserve"> and only asked </w:t>
      </w:r>
      <w:r w:rsidRPr="00C4075A">
        <w:rPr>
          <w:rFonts w:eastAsia="Times New Roman" w:cs="Arial"/>
          <w:sz w:val="22"/>
          <w:szCs w:val="22"/>
        </w:rPr>
        <w:t xml:space="preserve">to a subsample of </w:t>
      </w:r>
      <w:r>
        <w:rPr>
          <w:rFonts w:eastAsia="Times New Roman" w:cs="Arial"/>
          <w:sz w:val="22"/>
          <w:szCs w:val="22"/>
        </w:rPr>
        <w:t xml:space="preserve">customers that completed a service that is available to </w:t>
      </w:r>
      <w:r w:rsidRPr="00C4075A">
        <w:rPr>
          <w:rFonts w:eastAsia="Times New Roman" w:cs="Arial"/>
          <w:sz w:val="22"/>
          <w:szCs w:val="22"/>
        </w:rPr>
        <w:t>online (n=466)</w:t>
      </w:r>
      <w:r>
        <w:rPr>
          <w:rFonts w:eastAsia="Times New Roman" w:cs="Arial"/>
          <w:sz w:val="22"/>
          <w:szCs w:val="22"/>
        </w:rPr>
        <w:t>.</w:t>
      </w:r>
    </w:p>
    <w:p w:rsidR="00FC1054" w:rsidRDefault="00FC1054" w:rsidP="00FC1054">
      <w:pPr>
        <w:spacing w:before="0" w:after="0" w:line="280" w:lineRule="atLeast"/>
        <w:rPr>
          <w:rFonts w:eastAsia="Times New Roman" w:cs="Arial"/>
          <w:sz w:val="22"/>
          <w:szCs w:val="22"/>
        </w:rPr>
      </w:pPr>
    </w:p>
    <w:p w:rsidR="00FC1054" w:rsidRDefault="00FC1054" w:rsidP="00FC1054">
      <w:pPr>
        <w:spacing w:before="0" w:after="0" w:line="280" w:lineRule="atLeast"/>
        <w:rPr>
          <w:rFonts w:eastAsia="Times New Roman" w:cs="Arial"/>
          <w:sz w:val="22"/>
          <w:szCs w:val="22"/>
        </w:rPr>
      </w:pPr>
      <w:r>
        <w:rPr>
          <w:rFonts w:eastAsia="Times New Roman" w:cs="Arial"/>
          <w:sz w:val="22"/>
          <w:szCs w:val="22"/>
        </w:rPr>
        <w:t>As this module only covered the last quarter of the year, some results contain</w:t>
      </w:r>
      <w:r w:rsidR="00C11EF5">
        <w:rPr>
          <w:rFonts w:eastAsia="Times New Roman" w:cs="Arial"/>
          <w:sz w:val="22"/>
          <w:szCs w:val="22"/>
        </w:rPr>
        <w:t>ed within may differ slightly from</w:t>
      </w:r>
      <w:r>
        <w:rPr>
          <w:rFonts w:eastAsia="Times New Roman" w:cs="Arial"/>
          <w:sz w:val="22"/>
          <w:szCs w:val="22"/>
        </w:rPr>
        <w:t xml:space="preserve"> overall results detailed elsewhere in this report.</w:t>
      </w:r>
    </w:p>
    <w:p w:rsidR="00C11EF5" w:rsidRPr="00C4075A" w:rsidRDefault="00C11EF5" w:rsidP="00FC1054">
      <w:pPr>
        <w:spacing w:before="0" w:after="0" w:line="280" w:lineRule="atLeast"/>
        <w:rPr>
          <w:rFonts w:eastAsia="Times New Roman" w:cs="Arial"/>
          <w:sz w:val="22"/>
          <w:szCs w:val="22"/>
        </w:rPr>
      </w:pPr>
    </w:p>
    <w:p w:rsidR="00FC1054" w:rsidRDefault="00FC1054" w:rsidP="00FC1054">
      <w:pPr>
        <w:rPr>
          <w:rFonts w:eastAsia="Times New Roman"/>
          <w:b/>
          <w:i/>
          <w:iCs/>
          <w:color w:val="4F81BD"/>
        </w:rPr>
      </w:pPr>
      <w:r>
        <w:rPr>
          <w:rFonts w:eastAsia="Times New Roman"/>
          <w:b/>
          <w:i/>
          <w:iCs/>
          <w:color w:val="4F81BD"/>
        </w:rPr>
        <w:t>Awareness</w:t>
      </w:r>
      <w:r w:rsidRPr="00C4075A">
        <w:rPr>
          <w:rFonts w:eastAsia="Times New Roman"/>
          <w:b/>
          <w:i/>
          <w:iCs/>
          <w:color w:val="4F81BD"/>
        </w:rPr>
        <w:t xml:space="preserve"> </w:t>
      </w:r>
      <w:r>
        <w:rPr>
          <w:rFonts w:eastAsia="Times New Roman"/>
          <w:b/>
          <w:i/>
          <w:iCs/>
          <w:color w:val="4F81BD"/>
        </w:rPr>
        <w:t>of o</w:t>
      </w:r>
      <w:r w:rsidRPr="00C4075A">
        <w:rPr>
          <w:rFonts w:eastAsia="Times New Roman"/>
          <w:b/>
          <w:i/>
          <w:iCs/>
          <w:color w:val="4F81BD"/>
        </w:rPr>
        <w:t>nline</w:t>
      </w:r>
      <w:r>
        <w:rPr>
          <w:rFonts w:eastAsia="Times New Roman"/>
          <w:b/>
          <w:i/>
          <w:iCs/>
          <w:color w:val="4F81BD"/>
        </w:rPr>
        <w:t xml:space="preserve"> services, online attempts and online </w:t>
      </w:r>
      <w:r w:rsidRPr="00C4075A">
        <w:rPr>
          <w:rFonts w:eastAsia="Times New Roman"/>
          <w:b/>
          <w:i/>
          <w:iCs/>
          <w:color w:val="4F81BD"/>
        </w:rPr>
        <w:t>succes</w:t>
      </w:r>
      <w:r>
        <w:rPr>
          <w:rFonts w:eastAsia="Times New Roman"/>
          <w:b/>
          <w:i/>
          <w:iCs/>
          <w:color w:val="4F81BD"/>
        </w:rPr>
        <w:t>s rate</w:t>
      </w:r>
    </w:p>
    <w:p w:rsidR="00FC1054" w:rsidRPr="00B21D7D" w:rsidRDefault="00FC1054" w:rsidP="00FC1054">
      <w:pPr>
        <w:spacing w:after="0"/>
        <w:rPr>
          <w:rFonts w:eastAsia="Times New Roman"/>
          <w:iCs/>
          <w:sz w:val="22"/>
        </w:rPr>
      </w:pPr>
      <w:r>
        <w:rPr>
          <w:rFonts w:eastAsia="Times New Roman"/>
          <w:iCs/>
          <w:sz w:val="22"/>
        </w:rPr>
        <w:t>The 466 c</w:t>
      </w:r>
      <w:r w:rsidRPr="00B21D7D">
        <w:rPr>
          <w:rFonts w:eastAsia="Times New Roman"/>
          <w:iCs/>
          <w:sz w:val="22"/>
        </w:rPr>
        <w:t>ustomers</w:t>
      </w:r>
      <w:r>
        <w:rPr>
          <w:rFonts w:eastAsia="Times New Roman"/>
          <w:iCs/>
          <w:sz w:val="22"/>
        </w:rPr>
        <w:t xml:space="preserve"> that</w:t>
      </w:r>
      <w:r w:rsidRPr="00B21D7D">
        <w:rPr>
          <w:rFonts w:eastAsia="Times New Roman"/>
          <w:iCs/>
          <w:sz w:val="22"/>
        </w:rPr>
        <w:t xml:space="preserve"> </w:t>
      </w:r>
      <w:r>
        <w:rPr>
          <w:rFonts w:eastAsia="Times New Roman"/>
          <w:iCs/>
          <w:sz w:val="22"/>
        </w:rPr>
        <w:t xml:space="preserve">recently completed a SDO service that could be completed online were asked their awareness and use of the online channel. </w:t>
      </w:r>
    </w:p>
    <w:p w:rsidR="00FC1054" w:rsidRPr="00C4075A" w:rsidRDefault="00FC1054" w:rsidP="00FC1054">
      <w:pPr>
        <w:pStyle w:val="ListParagraph"/>
        <w:keepLines/>
        <w:numPr>
          <w:ilvl w:val="0"/>
          <w:numId w:val="39"/>
        </w:numPr>
        <w:rPr>
          <w:b/>
          <w:sz w:val="22"/>
        </w:rPr>
      </w:pPr>
      <w:r w:rsidRPr="00FC448D">
        <w:rPr>
          <w:rFonts w:eastAsia="Times New Roman"/>
          <w:color w:val="000000" w:themeColor="text1"/>
          <w:sz w:val="22"/>
          <w:szCs w:val="22"/>
        </w:rPr>
        <w:t>The majority</w:t>
      </w:r>
      <w:r w:rsidRPr="00C4075A">
        <w:rPr>
          <w:sz w:val="22"/>
        </w:rPr>
        <w:t xml:space="preserve"> (84%) of customers were aware they could complete their service online.</w:t>
      </w:r>
    </w:p>
    <w:p w:rsidR="00FC1054" w:rsidRPr="00C4075A" w:rsidRDefault="00FC1054" w:rsidP="00FC1054">
      <w:pPr>
        <w:pStyle w:val="ListParagraph"/>
        <w:keepLines/>
        <w:numPr>
          <w:ilvl w:val="0"/>
          <w:numId w:val="39"/>
        </w:numPr>
        <w:rPr>
          <w:b/>
          <w:sz w:val="22"/>
        </w:rPr>
      </w:pPr>
      <w:r w:rsidRPr="00C4075A">
        <w:rPr>
          <w:sz w:val="22"/>
        </w:rPr>
        <w:t>Almost all of those who were aware, attempted to complete their service online. (93% of those aware).</w:t>
      </w:r>
    </w:p>
    <w:p w:rsidR="00FC1054" w:rsidRPr="00C4075A" w:rsidRDefault="00FC1054" w:rsidP="00FC1054">
      <w:pPr>
        <w:pStyle w:val="ListParagraph"/>
        <w:keepLines/>
        <w:numPr>
          <w:ilvl w:val="0"/>
          <w:numId w:val="39"/>
        </w:numPr>
        <w:rPr>
          <w:b/>
          <w:sz w:val="22"/>
        </w:rPr>
      </w:pPr>
      <w:r>
        <w:rPr>
          <w:sz w:val="22"/>
        </w:rPr>
        <w:t xml:space="preserve">Over 9 out of 10 of </w:t>
      </w:r>
      <w:r w:rsidRPr="00C4075A">
        <w:rPr>
          <w:sz w:val="22"/>
        </w:rPr>
        <w:t xml:space="preserve">those who attempted </w:t>
      </w:r>
      <w:r>
        <w:rPr>
          <w:sz w:val="22"/>
        </w:rPr>
        <w:t>to complete their application online were successful</w:t>
      </w:r>
      <w:r w:rsidRPr="00C4075A">
        <w:rPr>
          <w:sz w:val="22"/>
        </w:rPr>
        <w:t>.</w:t>
      </w:r>
    </w:p>
    <w:p w:rsidR="00FC1054" w:rsidRPr="009505A2" w:rsidRDefault="00FC1054" w:rsidP="00FC1054">
      <w:pPr>
        <w:pStyle w:val="ListParagraph"/>
        <w:keepLines/>
        <w:numPr>
          <w:ilvl w:val="0"/>
          <w:numId w:val="39"/>
        </w:numPr>
        <w:rPr>
          <w:b/>
          <w:sz w:val="22"/>
        </w:rPr>
      </w:pPr>
      <w:r>
        <w:rPr>
          <w:sz w:val="22"/>
        </w:rPr>
        <w:t xml:space="preserve">Only </w:t>
      </w:r>
      <w:r w:rsidRPr="00C4075A">
        <w:rPr>
          <w:sz w:val="22"/>
        </w:rPr>
        <w:t xml:space="preserve">13% of the </w:t>
      </w:r>
      <w:r>
        <w:rPr>
          <w:sz w:val="22"/>
        </w:rPr>
        <w:t xml:space="preserve">total sample did not </w:t>
      </w:r>
      <w:r w:rsidRPr="00C4075A">
        <w:rPr>
          <w:sz w:val="22"/>
        </w:rPr>
        <w:t>complete their service online</w:t>
      </w:r>
      <w:r>
        <w:rPr>
          <w:sz w:val="22"/>
        </w:rPr>
        <w:t>. The attitudes of the group that did not apply online will be explored in</w:t>
      </w:r>
      <w:r w:rsidRPr="00C4075A">
        <w:rPr>
          <w:sz w:val="22"/>
        </w:rPr>
        <w:t xml:space="preserve"> subsequent sections.</w:t>
      </w:r>
    </w:p>
    <w:p w:rsidR="00FC1054" w:rsidRDefault="00FC1054" w:rsidP="00FC1054">
      <w:r>
        <w:rPr>
          <w:noProof/>
          <w:lang w:eastAsia="en-NZ"/>
        </w:rPr>
        <w:drawing>
          <wp:inline distT="0" distB="0" distL="0" distR="0" wp14:anchorId="30472515" wp14:editId="3466744A">
            <wp:extent cx="5127414" cy="262615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30107" cy="2627536"/>
                    </a:xfrm>
                    <a:prstGeom prst="rect">
                      <a:avLst/>
                    </a:prstGeom>
                  </pic:spPr>
                </pic:pic>
              </a:graphicData>
            </a:graphic>
          </wp:inline>
        </w:drawing>
      </w:r>
    </w:p>
    <w:p w:rsidR="00C11EF5" w:rsidRDefault="00FC1054" w:rsidP="00FC1054">
      <w:pPr>
        <w:rPr>
          <w:rFonts w:eastAsia="Times New Roman"/>
          <w:b/>
          <w:i/>
          <w:iCs/>
          <w:color w:val="4F81BD"/>
        </w:rPr>
      </w:pPr>
      <w:r>
        <w:br/>
      </w:r>
    </w:p>
    <w:p w:rsidR="00C11EF5" w:rsidRDefault="00C11EF5">
      <w:pPr>
        <w:rPr>
          <w:rFonts w:eastAsia="Times New Roman"/>
          <w:b/>
          <w:i/>
          <w:iCs/>
          <w:color w:val="4F81BD"/>
        </w:rPr>
      </w:pPr>
      <w:r>
        <w:rPr>
          <w:rFonts w:eastAsia="Times New Roman"/>
          <w:b/>
          <w:i/>
          <w:iCs/>
          <w:color w:val="4F81BD"/>
        </w:rPr>
        <w:br w:type="page"/>
      </w:r>
    </w:p>
    <w:p w:rsidR="00FC1054" w:rsidRDefault="00FC1054" w:rsidP="00FC1054">
      <w:pPr>
        <w:rPr>
          <w:b/>
        </w:rPr>
      </w:pPr>
      <w:r w:rsidRPr="00C4075A">
        <w:rPr>
          <w:rFonts w:eastAsia="Times New Roman"/>
          <w:b/>
          <w:i/>
          <w:iCs/>
          <w:color w:val="4F81BD"/>
        </w:rPr>
        <w:lastRenderedPageBreak/>
        <w:t xml:space="preserve">Satisfaction with recent </w:t>
      </w:r>
      <w:r>
        <w:rPr>
          <w:rFonts w:eastAsia="Times New Roman"/>
          <w:b/>
          <w:i/>
          <w:iCs/>
          <w:color w:val="4F81BD"/>
        </w:rPr>
        <w:t xml:space="preserve">online </w:t>
      </w:r>
      <w:r w:rsidRPr="00C4075A">
        <w:rPr>
          <w:rFonts w:eastAsia="Times New Roman"/>
          <w:b/>
          <w:i/>
          <w:iCs/>
          <w:color w:val="4F81BD"/>
        </w:rPr>
        <w:t>experience</w:t>
      </w:r>
    </w:p>
    <w:p w:rsidR="00FC1054" w:rsidRPr="00FC448D" w:rsidRDefault="00FC1054" w:rsidP="00FC1054">
      <w:pPr>
        <w:rPr>
          <w:sz w:val="22"/>
        </w:rPr>
      </w:pPr>
      <w:r>
        <w:rPr>
          <w:sz w:val="22"/>
        </w:rPr>
        <w:t xml:space="preserve">93% of customers were </w:t>
      </w:r>
      <w:r w:rsidRPr="00FC448D">
        <w:rPr>
          <w:sz w:val="22"/>
        </w:rPr>
        <w:t xml:space="preserve">satisfied with their </w:t>
      </w:r>
      <w:r>
        <w:rPr>
          <w:sz w:val="22"/>
        </w:rPr>
        <w:t xml:space="preserve">recent </w:t>
      </w:r>
      <w:r w:rsidRPr="00FC448D">
        <w:rPr>
          <w:sz w:val="22"/>
        </w:rPr>
        <w:t>online experience – 76% of these were very satisfied.</w:t>
      </w:r>
      <w:r>
        <w:rPr>
          <w:sz w:val="22"/>
        </w:rPr>
        <w:t xml:space="preserve"> </w:t>
      </w:r>
      <w:r w:rsidRPr="00FC448D">
        <w:rPr>
          <w:sz w:val="22"/>
        </w:rPr>
        <w:t xml:space="preserve">Satisfaction with </w:t>
      </w:r>
      <w:r>
        <w:rPr>
          <w:sz w:val="22"/>
        </w:rPr>
        <w:t xml:space="preserve">the </w:t>
      </w:r>
      <w:r w:rsidRPr="00FC448D">
        <w:rPr>
          <w:sz w:val="22"/>
        </w:rPr>
        <w:t xml:space="preserve">online experience was slightly lower than customers who completed their service </w:t>
      </w:r>
      <w:r>
        <w:rPr>
          <w:sz w:val="22"/>
        </w:rPr>
        <w:t>via t</w:t>
      </w:r>
      <w:r w:rsidRPr="00FC448D">
        <w:rPr>
          <w:sz w:val="22"/>
        </w:rPr>
        <w:t>elephone or by going to a physical branch.</w:t>
      </w:r>
    </w:p>
    <w:p w:rsidR="00FC1054" w:rsidRDefault="00FC1054" w:rsidP="00FC1054">
      <w:r>
        <w:rPr>
          <w:noProof/>
          <w:lang w:eastAsia="en-NZ"/>
        </w:rPr>
        <w:drawing>
          <wp:inline distT="0" distB="0" distL="0" distR="0" wp14:anchorId="598816AB" wp14:editId="54DA8B84">
            <wp:extent cx="4923129" cy="26756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925714" cy="2677042"/>
                    </a:xfrm>
                    <a:prstGeom prst="rect">
                      <a:avLst/>
                    </a:prstGeom>
                  </pic:spPr>
                </pic:pic>
              </a:graphicData>
            </a:graphic>
          </wp:inline>
        </w:drawing>
      </w:r>
    </w:p>
    <w:p w:rsidR="00FC1054" w:rsidRPr="00C4075A" w:rsidRDefault="00FC1054" w:rsidP="00FC1054">
      <w:pPr>
        <w:rPr>
          <w:b/>
          <w:sz w:val="22"/>
        </w:rPr>
      </w:pPr>
      <w:r w:rsidRPr="00C4075A">
        <w:rPr>
          <w:sz w:val="22"/>
        </w:rPr>
        <w:t xml:space="preserve">Out of </w:t>
      </w:r>
      <w:r>
        <w:rPr>
          <w:sz w:val="22"/>
        </w:rPr>
        <w:t>SDO</w:t>
      </w:r>
      <w:r w:rsidRPr="00C4075A">
        <w:rPr>
          <w:sz w:val="22"/>
        </w:rPr>
        <w:t xml:space="preserve">’s services that can be completed online – Identity </w:t>
      </w:r>
      <w:r>
        <w:rPr>
          <w:sz w:val="22"/>
        </w:rPr>
        <w:t>S</w:t>
      </w:r>
      <w:r w:rsidRPr="00C4075A">
        <w:rPr>
          <w:sz w:val="22"/>
        </w:rPr>
        <w:t>ervices</w:t>
      </w:r>
      <w:r>
        <w:rPr>
          <w:sz w:val="22"/>
        </w:rPr>
        <w:t xml:space="preserve"> </w:t>
      </w:r>
      <w:r w:rsidRPr="00C4075A">
        <w:rPr>
          <w:sz w:val="22"/>
        </w:rPr>
        <w:t xml:space="preserve">had the highest satisfaction </w:t>
      </w:r>
      <w:r>
        <w:rPr>
          <w:sz w:val="22"/>
        </w:rPr>
        <w:t xml:space="preserve">score </w:t>
      </w:r>
      <w:r w:rsidRPr="00C4075A">
        <w:rPr>
          <w:sz w:val="22"/>
        </w:rPr>
        <w:t>with around 93% stating they were satisfied or very satisfied with their online experience.</w:t>
      </w:r>
      <w:r>
        <w:rPr>
          <w:sz w:val="22"/>
        </w:rPr>
        <w:t xml:space="preserve"> Identity services consist of Passports, Citizenships and Births, Deaths and Marriages.</w:t>
      </w:r>
    </w:p>
    <w:p w:rsidR="00FC1054" w:rsidRDefault="00FC1054" w:rsidP="00FC1054">
      <w:pPr>
        <w:rPr>
          <w:b/>
        </w:rPr>
      </w:pPr>
      <w:r>
        <w:rPr>
          <w:noProof/>
          <w:lang w:eastAsia="en-NZ"/>
        </w:rPr>
        <w:drawing>
          <wp:inline distT="0" distB="0" distL="0" distR="0" wp14:anchorId="5F272849" wp14:editId="7C41507B">
            <wp:extent cx="4688139" cy="22899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90859" cy="2291304"/>
                    </a:xfrm>
                    <a:prstGeom prst="rect">
                      <a:avLst/>
                    </a:prstGeom>
                  </pic:spPr>
                </pic:pic>
              </a:graphicData>
            </a:graphic>
          </wp:inline>
        </w:drawing>
      </w:r>
    </w:p>
    <w:p w:rsidR="00C11EF5" w:rsidRDefault="00C11EF5">
      <w:pPr>
        <w:rPr>
          <w:rFonts w:eastAsia="Times New Roman"/>
          <w:b/>
          <w:i/>
          <w:iCs/>
          <w:color w:val="4F81BD"/>
        </w:rPr>
      </w:pPr>
      <w:r>
        <w:rPr>
          <w:rFonts w:eastAsia="Times New Roman"/>
          <w:b/>
          <w:i/>
          <w:iCs/>
          <w:color w:val="4F81BD"/>
        </w:rPr>
        <w:br w:type="page"/>
      </w:r>
    </w:p>
    <w:p w:rsidR="00FC1054" w:rsidRDefault="00FC1054" w:rsidP="00FC1054">
      <w:pPr>
        <w:rPr>
          <w:b/>
        </w:rPr>
      </w:pPr>
      <w:r w:rsidRPr="00C4075A">
        <w:rPr>
          <w:rFonts w:eastAsia="Times New Roman"/>
          <w:b/>
          <w:i/>
          <w:iCs/>
          <w:color w:val="4F81BD"/>
        </w:rPr>
        <w:lastRenderedPageBreak/>
        <w:t xml:space="preserve">Digital </w:t>
      </w:r>
      <w:r>
        <w:rPr>
          <w:rFonts w:eastAsia="Times New Roman"/>
          <w:b/>
          <w:i/>
          <w:iCs/>
          <w:color w:val="4F81BD"/>
        </w:rPr>
        <w:t>customers</w:t>
      </w:r>
      <w:r w:rsidRPr="00C4075A">
        <w:rPr>
          <w:rFonts w:eastAsia="Times New Roman"/>
          <w:b/>
          <w:i/>
          <w:iCs/>
          <w:color w:val="4F81BD"/>
        </w:rPr>
        <w:t>’ needs</w:t>
      </w:r>
    </w:p>
    <w:p w:rsidR="00FC1054" w:rsidRPr="00C4075A" w:rsidRDefault="00FC1054" w:rsidP="00FC1054">
      <w:pPr>
        <w:rPr>
          <w:sz w:val="22"/>
        </w:rPr>
      </w:pPr>
      <w:r w:rsidRPr="00C4075A">
        <w:rPr>
          <w:sz w:val="22"/>
        </w:rPr>
        <w:t xml:space="preserve">When deciding how to apply online, </w:t>
      </w:r>
      <w:r>
        <w:rPr>
          <w:sz w:val="22"/>
        </w:rPr>
        <w:t>c</w:t>
      </w:r>
      <w:r w:rsidRPr="00C4075A">
        <w:rPr>
          <w:sz w:val="22"/>
        </w:rPr>
        <w:t xml:space="preserve">ustomers reported the most important factor </w:t>
      </w:r>
      <w:r>
        <w:rPr>
          <w:sz w:val="22"/>
        </w:rPr>
        <w:t>was the clarity of the instructions. This was</w:t>
      </w:r>
      <w:r w:rsidRPr="00C4075A">
        <w:rPr>
          <w:sz w:val="22"/>
        </w:rPr>
        <w:t xml:space="preserve"> followed </w:t>
      </w:r>
      <w:r>
        <w:rPr>
          <w:sz w:val="22"/>
        </w:rPr>
        <w:t xml:space="preserve">closely in importance </w:t>
      </w:r>
      <w:r w:rsidRPr="00C4075A">
        <w:rPr>
          <w:sz w:val="22"/>
        </w:rPr>
        <w:t>by ‘It would be easy to do’</w:t>
      </w:r>
      <w:r>
        <w:rPr>
          <w:sz w:val="22"/>
        </w:rPr>
        <w:t xml:space="preserve"> and that their 'privacy would be</w:t>
      </w:r>
      <w:r w:rsidRPr="00C4075A">
        <w:rPr>
          <w:sz w:val="22"/>
        </w:rPr>
        <w:t xml:space="preserve"> protected</w:t>
      </w:r>
      <w:r>
        <w:rPr>
          <w:sz w:val="22"/>
        </w:rPr>
        <w:t>’</w:t>
      </w:r>
      <w:r w:rsidRPr="00C4075A">
        <w:rPr>
          <w:sz w:val="22"/>
        </w:rPr>
        <w:t>. At least 83% of</w:t>
      </w:r>
      <w:r>
        <w:rPr>
          <w:sz w:val="22"/>
        </w:rPr>
        <w:t xml:space="preserve"> online</w:t>
      </w:r>
      <w:r w:rsidRPr="00C4075A">
        <w:rPr>
          <w:sz w:val="22"/>
        </w:rPr>
        <w:t xml:space="preserve"> customers were satisfied or very satisfied</w:t>
      </w:r>
      <w:r>
        <w:rPr>
          <w:sz w:val="22"/>
        </w:rPr>
        <w:t xml:space="preserve"> with all the following statements: ‘Instructions were clear’, ‘it was easy to do’, ‘my privacy was protected’, ‘I did it when I wanted to’ and ‘it took little time’.</w:t>
      </w:r>
    </w:p>
    <w:p w:rsidR="00FC1054" w:rsidRDefault="00FC1054" w:rsidP="00FC1054">
      <w:r>
        <w:rPr>
          <w:noProof/>
          <w:lang w:eastAsia="en-NZ"/>
        </w:rPr>
        <w:drawing>
          <wp:inline distT="0" distB="0" distL="0" distR="0" wp14:anchorId="70B98853" wp14:editId="18AFCBEB">
            <wp:extent cx="5705475" cy="284847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03858" cy="2847664"/>
                    </a:xfrm>
                    <a:prstGeom prst="rect">
                      <a:avLst/>
                    </a:prstGeom>
                  </pic:spPr>
                </pic:pic>
              </a:graphicData>
            </a:graphic>
          </wp:inline>
        </w:drawing>
      </w:r>
    </w:p>
    <w:p w:rsidR="00FC1054" w:rsidRDefault="00FC1054" w:rsidP="00FC1054">
      <w:pPr>
        <w:rPr>
          <w:b/>
        </w:rPr>
      </w:pPr>
      <w:r>
        <w:rPr>
          <w:rFonts w:eastAsia="Times New Roman"/>
          <w:b/>
          <w:i/>
          <w:iCs/>
          <w:color w:val="4F81BD"/>
        </w:rPr>
        <w:t>Perspectives of n</w:t>
      </w:r>
      <w:r w:rsidRPr="00C4075A">
        <w:rPr>
          <w:rFonts w:eastAsia="Times New Roman"/>
          <w:b/>
          <w:i/>
          <w:iCs/>
          <w:color w:val="4F81BD"/>
        </w:rPr>
        <w:t xml:space="preserve">on-digital </w:t>
      </w:r>
      <w:r>
        <w:rPr>
          <w:rFonts w:eastAsia="Times New Roman"/>
          <w:b/>
          <w:i/>
          <w:iCs/>
          <w:color w:val="4F81BD"/>
        </w:rPr>
        <w:t>customers</w:t>
      </w:r>
    </w:p>
    <w:p w:rsidR="00FC1054" w:rsidRPr="00C4075A" w:rsidRDefault="00FC1054" w:rsidP="00FC1054">
      <w:pPr>
        <w:rPr>
          <w:sz w:val="22"/>
        </w:rPr>
      </w:pPr>
      <w:r w:rsidRPr="00C4075A">
        <w:rPr>
          <w:sz w:val="22"/>
        </w:rPr>
        <w:t>29% of customers reported that they didn’t complete their service online</w:t>
      </w:r>
      <w:r>
        <w:rPr>
          <w:sz w:val="22"/>
        </w:rPr>
        <w:t>.</w:t>
      </w:r>
      <w:r w:rsidRPr="00C4075A">
        <w:rPr>
          <w:sz w:val="22"/>
        </w:rPr>
        <w:t xml:space="preserve"> The most common reason </w:t>
      </w:r>
      <w:r>
        <w:rPr>
          <w:sz w:val="22"/>
        </w:rPr>
        <w:t xml:space="preserve">given </w:t>
      </w:r>
      <w:r w:rsidRPr="00C4075A">
        <w:rPr>
          <w:sz w:val="22"/>
        </w:rPr>
        <w:t>was because they were not aware there was an online option (12%).</w:t>
      </w:r>
    </w:p>
    <w:p w:rsidR="00FC1054" w:rsidRPr="00396AC6" w:rsidRDefault="00FC1054" w:rsidP="00FC1054">
      <w:r>
        <w:rPr>
          <w:noProof/>
          <w:lang w:eastAsia="en-NZ"/>
        </w:rPr>
        <w:drawing>
          <wp:inline distT="0" distB="0" distL="0" distR="0" wp14:anchorId="2B2EC246" wp14:editId="3BDFD158">
            <wp:extent cx="5760085" cy="20406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085" cy="2040645"/>
                    </a:xfrm>
                    <a:prstGeom prst="rect">
                      <a:avLst/>
                    </a:prstGeom>
                  </pic:spPr>
                </pic:pic>
              </a:graphicData>
            </a:graphic>
          </wp:inline>
        </w:drawing>
      </w:r>
    </w:p>
    <w:p w:rsidR="00FC1054" w:rsidRDefault="00FC1054" w:rsidP="00FC1054">
      <w:pPr>
        <w:spacing w:after="0"/>
        <w:rPr>
          <w:sz w:val="22"/>
          <w:szCs w:val="22"/>
        </w:rPr>
      </w:pPr>
      <w:r w:rsidRPr="00C4075A">
        <w:rPr>
          <w:sz w:val="22"/>
          <w:szCs w:val="22"/>
        </w:rPr>
        <w:t>Other reasons given for not completing their service online</w:t>
      </w:r>
      <w:r>
        <w:rPr>
          <w:sz w:val="22"/>
          <w:szCs w:val="22"/>
        </w:rPr>
        <w:t>:</w:t>
      </w:r>
    </w:p>
    <w:p w:rsidR="00FC1054" w:rsidRPr="009505A2" w:rsidRDefault="00FC1054" w:rsidP="00FC1054">
      <w:pPr>
        <w:pStyle w:val="ListParagraph"/>
        <w:keepLines/>
        <w:numPr>
          <w:ilvl w:val="0"/>
          <w:numId w:val="41"/>
        </w:numPr>
        <w:rPr>
          <w:sz w:val="22"/>
          <w:szCs w:val="22"/>
        </w:rPr>
      </w:pPr>
      <w:r w:rsidRPr="009505A2">
        <w:rPr>
          <w:sz w:val="22"/>
          <w:szCs w:val="22"/>
        </w:rPr>
        <w:t>8% were aware but preferred not to use an online option. The main reasons provided were that customers preferred to talk to someone (32%) or they didn’t trust the security of online applications (29%).</w:t>
      </w:r>
    </w:p>
    <w:p w:rsidR="00FC1054" w:rsidRPr="00C4075A" w:rsidRDefault="00FC1054" w:rsidP="00FC1054">
      <w:pPr>
        <w:pStyle w:val="ListParagraph"/>
        <w:keepLines/>
        <w:numPr>
          <w:ilvl w:val="0"/>
          <w:numId w:val="40"/>
        </w:numPr>
        <w:rPr>
          <w:sz w:val="22"/>
          <w:szCs w:val="22"/>
        </w:rPr>
      </w:pPr>
      <w:r w:rsidRPr="00C4075A">
        <w:rPr>
          <w:sz w:val="22"/>
          <w:szCs w:val="22"/>
        </w:rPr>
        <w:t>6% tried but didn’t complete their service online. The main reasons provided for not completing their applications online was that they couldn’t because they had to provide additional information such as documents or photos.</w:t>
      </w:r>
    </w:p>
    <w:p w:rsidR="00FC1054" w:rsidRPr="00603635" w:rsidRDefault="00FC1054" w:rsidP="00FC1054">
      <w:pPr>
        <w:pStyle w:val="ListParagraph"/>
        <w:keepLines/>
        <w:numPr>
          <w:ilvl w:val="0"/>
          <w:numId w:val="40"/>
        </w:numPr>
      </w:pPr>
      <w:r w:rsidRPr="00C4075A">
        <w:rPr>
          <w:sz w:val="22"/>
          <w:szCs w:val="22"/>
        </w:rPr>
        <w:t>2% preferred to go online by didn’t because of practical issues like not being eligible</w:t>
      </w:r>
      <w:r>
        <w:t xml:space="preserve">. </w:t>
      </w:r>
    </w:p>
    <w:p w:rsidR="00E12005" w:rsidRDefault="00E12005" w:rsidP="003259D9">
      <w:pPr>
        <w:spacing w:before="0" w:after="0" w:line="280" w:lineRule="atLeast"/>
        <w:rPr>
          <w:rFonts w:eastAsia="Times New Roman"/>
          <w:b/>
          <w:bCs/>
          <w:i/>
          <w:iCs/>
          <w:color w:val="4F81BD"/>
        </w:rPr>
      </w:pPr>
    </w:p>
    <w:p w:rsidR="00BC1A9B" w:rsidRDefault="00BC1A9B" w:rsidP="003259D9">
      <w:pPr>
        <w:spacing w:before="0" w:after="0" w:line="280" w:lineRule="atLeast"/>
        <w:rPr>
          <w:rFonts w:eastAsia="Times New Roman"/>
          <w:b/>
          <w:bCs/>
          <w:i/>
          <w:iCs/>
          <w:color w:val="4F81BD"/>
        </w:rPr>
      </w:pPr>
    </w:p>
    <w:p w:rsidR="003259D9" w:rsidRPr="00665191" w:rsidRDefault="003259D9" w:rsidP="003259D9">
      <w:pPr>
        <w:spacing w:before="0" w:after="0" w:line="280" w:lineRule="atLeast"/>
        <w:rPr>
          <w:rFonts w:eastAsia="Times New Roman"/>
          <w:b/>
          <w:bCs/>
          <w:iCs/>
          <w:color w:val="4F81BD"/>
        </w:rPr>
      </w:pPr>
      <w:r w:rsidRPr="00665191">
        <w:rPr>
          <w:rFonts w:eastAsia="Times New Roman"/>
          <w:b/>
          <w:bCs/>
          <w:i/>
          <w:iCs/>
          <w:color w:val="4F81BD"/>
        </w:rPr>
        <w:lastRenderedPageBreak/>
        <w:t>Next Steps</w:t>
      </w:r>
    </w:p>
    <w:p w:rsidR="003259D9" w:rsidRPr="00665191" w:rsidRDefault="003259D9" w:rsidP="003259D9">
      <w:pPr>
        <w:spacing w:before="0" w:after="0" w:line="280" w:lineRule="atLeast"/>
        <w:rPr>
          <w:rFonts w:eastAsia="Times New Roman" w:cs="Arial"/>
          <w:sz w:val="22"/>
          <w:szCs w:val="22"/>
        </w:rPr>
      </w:pPr>
    </w:p>
    <w:p w:rsidR="003259D9" w:rsidRDefault="003259D9" w:rsidP="003259D9">
      <w:pPr>
        <w:spacing w:before="0" w:after="0" w:line="280" w:lineRule="atLeast"/>
        <w:rPr>
          <w:rFonts w:eastAsia="Times New Roman" w:cs="Arial"/>
          <w:sz w:val="22"/>
          <w:szCs w:val="22"/>
        </w:rPr>
      </w:pPr>
      <w:r w:rsidRPr="00E152FE">
        <w:rPr>
          <w:rFonts w:eastAsia="Times New Roman" w:cs="Arial"/>
          <w:sz w:val="22"/>
          <w:szCs w:val="22"/>
        </w:rPr>
        <w:t xml:space="preserve">SDO is working to transform our system of service delivery. Findings from this research will </w:t>
      </w:r>
      <w:r w:rsidR="00E152FE">
        <w:rPr>
          <w:rFonts w:eastAsia="Times New Roman" w:cs="Arial"/>
          <w:sz w:val="22"/>
          <w:szCs w:val="22"/>
        </w:rPr>
        <w:t xml:space="preserve">continue to </w:t>
      </w:r>
      <w:r w:rsidRPr="00E152FE">
        <w:rPr>
          <w:rFonts w:eastAsia="Times New Roman" w:cs="Arial"/>
          <w:sz w:val="22"/>
          <w:szCs w:val="22"/>
        </w:rPr>
        <w:t>help us understand our customers’ needs and enable us to see the effect of servi</w:t>
      </w:r>
      <w:r w:rsidR="008938A6">
        <w:rPr>
          <w:rFonts w:eastAsia="Times New Roman" w:cs="Arial"/>
          <w:sz w:val="22"/>
          <w:szCs w:val="22"/>
        </w:rPr>
        <w:t xml:space="preserve">ce changes on our customers. A </w:t>
      </w:r>
      <w:r w:rsidRPr="00E152FE">
        <w:rPr>
          <w:rFonts w:eastAsia="Times New Roman" w:cs="Arial"/>
          <w:sz w:val="22"/>
          <w:szCs w:val="22"/>
        </w:rPr>
        <w:t>programme of continuous improvement is being undertaken based on customer and staff experience.</w:t>
      </w:r>
      <w:r w:rsidR="00404431">
        <w:rPr>
          <w:rFonts w:eastAsia="Times New Roman" w:cs="Arial"/>
          <w:sz w:val="22"/>
          <w:szCs w:val="22"/>
        </w:rPr>
        <w:t xml:space="preserve"> </w:t>
      </w:r>
    </w:p>
    <w:p w:rsidR="00BC147F" w:rsidRDefault="00BC147F" w:rsidP="003259D9">
      <w:pPr>
        <w:spacing w:before="0" w:after="0" w:line="280" w:lineRule="atLeast"/>
        <w:rPr>
          <w:rFonts w:eastAsia="Times New Roman" w:cs="Arial"/>
          <w:sz w:val="22"/>
          <w:szCs w:val="22"/>
        </w:rPr>
      </w:pPr>
    </w:p>
    <w:p w:rsidR="00BC147F" w:rsidRDefault="00BC147F" w:rsidP="00BC147F">
      <w:pPr>
        <w:spacing w:before="0" w:after="0" w:line="280" w:lineRule="atLeast"/>
        <w:rPr>
          <w:rFonts w:eastAsia="Times New Roman" w:cs="Arial"/>
          <w:sz w:val="22"/>
          <w:szCs w:val="22"/>
        </w:rPr>
      </w:pPr>
      <w:r w:rsidRPr="00E152FE">
        <w:rPr>
          <w:rFonts w:eastAsia="Times New Roman" w:cs="Arial"/>
          <w:sz w:val="22"/>
          <w:szCs w:val="22"/>
        </w:rPr>
        <w:t>Improving our web and digital services is a strong focus for SDO. Analysis from the survey, particularly of customer comments, will help direct this.</w:t>
      </w:r>
      <w:r>
        <w:rPr>
          <w:rFonts w:eastAsia="Times New Roman" w:cs="Arial"/>
          <w:sz w:val="22"/>
          <w:szCs w:val="22"/>
        </w:rPr>
        <w:t xml:space="preserve">  Projects that have been either during the course of</w:t>
      </w:r>
      <w:r w:rsidR="00326A47">
        <w:rPr>
          <w:rFonts w:eastAsia="Times New Roman" w:cs="Arial"/>
          <w:sz w:val="22"/>
          <w:szCs w:val="22"/>
        </w:rPr>
        <w:t xml:space="preserve"> the 2018-19 survey or since it</w:t>
      </w:r>
      <w:r>
        <w:rPr>
          <w:rFonts w:eastAsia="Times New Roman" w:cs="Arial"/>
          <w:sz w:val="22"/>
          <w:szCs w:val="22"/>
        </w:rPr>
        <w:t>s completion are:</w:t>
      </w:r>
    </w:p>
    <w:p w:rsidR="00BC147F" w:rsidRDefault="00BC147F" w:rsidP="00BC147F">
      <w:pPr>
        <w:pStyle w:val="ListParagraph"/>
        <w:numPr>
          <w:ilvl w:val="0"/>
          <w:numId w:val="38"/>
        </w:numPr>
        <w:spacing w:before="0" w:after="0" w:line="280" w:lineRule="atLeast"/>
        <w:rPr>
          <w:rFonts w:eastAsia="Times New Roman" w:cs="Arial"/>
          <w:sz w:val="22"/>
          <w:szCs w:val="22"/>
        </w:rPr>
      </w:pPr>
      <w:r>
        <w:rPr>
          <w:rFonts w:eastAsia="Times New Roman" w:cs="Arial"/>
          <w:sz w:val="22"/>
          <w:szCs w:val="22"/>
        </w:rPr>
        <w:t>Improvements to the BDM online service – customers can now order all types on non-historical certificates/records online.</w:t>
      </w:r>
    </w:p>
    <w:p w:rsidR="00BC147F" w:rsidRDefault="00BC147F" w:rsidP="00BC147F">
      <w:pPr>
        <w:pStyle w:val="ListParagraph"/>
        <w:numPr>
          <w:ilvl w:val="0"/>
          <w:numId w:val="38"/>
        </w:numPr>
        <w:spacing w:before="0" w:after="0" w:line="280" w:lineRule="atLeast"/>
        <w:rPr>
          <w:rFonts w:eastAsia="Times New Roman" w:cs="Arial"/>
          <w:sz w:val="22"/>
          <w:szCs w:val="22"/>
        </w:rPr>
      </w:pPr>
      <w:r>
        <w:rPr>
          <w:rFonts w:eastAsia="Times New Roman" w:cs="Arial"/>
          <w:sz w:val="22"/>
          <w:szCs w:val="22"/>
        </w:rPr>
        <w:t xml:space="preserve">Successful pilot of our citizenship by grant online system and more recently the full rollout of the ability for customers to apply for citizenship by grant online. </w:t>
      </w:r>
    </w:p>
    <w:p w:rsidR="00BC147F" w:rsidRDefault="00BC147F" w:rsidP="00BC147F">
      <w:pPr>
        <w:pStyle w:val="ListParagraph"/>
        <w:numPr>
          <w:ilvl w:val="0"/>
          <w:numId w:val="38"/>
        </w:numPr>
        <w:spacing w:before="0" w:after="0" w:line="280" w:lineRule="atLeast"/>
        <w:rPr>
          <w:rFonts w:eastAsia="Times New Roman" w:cs="Arial"/>
          <w:sz w:val="22"/>
          <w:szCs w:val="22"/>
        </w:rPr>
      </w:pPr>
      <w:r>
        <w:rPr>
          <w:rFonts w:eastAsia="Times New Roman" w:cs="Arial"/>
          <w:sz w:val="22"/>
          <w:szCs w:val="22"/>
        </w:rPr>
        <w:t>Citizenship by grant online</w:t>
      </w:r>
      <w:r w:rsidR="008D0850">
        <w:rPr>
          <w:rFonts w:eastAsia="Times New Roman" w:cs="Arial"/>
          <w:sz w:val="22"/>
          <w:szCs w:val="22"/>
        </w:rPr>
        <w:t xml:space="preserve"> (for individual adult applicants)</w:t>
      </w:r>
      <w:r>
        <w:rPr>
          <w:rFonts w:eastAsia="Times New Roman" w:cs="Arial"/>
          <w:sz w:val="22"/>
          <w:szCs w:val="22"/>
        </w:rPr>
        <w:t xml:space="preserve"> is the first service available in our Customer Centered Management Solution (CCMS).</w:t>
      </w:r>
      <w:r w:rsidR="000F0314">
        <w:rPr>
          <w:rFonts w:eastAsia="Times New Roman" w:cs="Arial"/>
          <w:sz w:val="22"/>
          <w:szCs w:val="22"/>
        </w:rPr>
        <w:t xml:space="preserve"> CCMS is a new application that will provide a single view of customer that will eventually replace the multiple current systems that are in use. CCMS will allow us to put the customer at the centre of our service delivery, record all interactions and transactions in one place and over time create better self-service for customers.</w:t>
      </w:r>
    </w:p>
    <w:p w:rsidR="008D0850" w:rsidRPr="00BC147F" w:rsidRDefault="008D0850" w:rsidP="00BC147F">
      <w:pPr>
        <w:pStyle w:val="ListParagraph"/>
        <w:numPr>
          <w:ilvl w:val="0"/>
          <w:numId w:val="38"/>
        </w:numPr>
        <w:spacing w:before="0" w:after="0" w:line="280" w:lineRule="atLeast"/>
        <w:rPr>
          <w:rFonts w:eastAsia="Times New Roman" w:cs="Arial"/>
          <w:sz w:val="22"/>
          <w:szCs w:val="22"/>
        </w:rPr>
      </w:pPr>
      <w:r>
        <w:rPr>
          <w:rFonts w:eastAsia="Times New Roman" w:cs="Arial"/>
          <w:sz w:val="22"/>
          <w:szCs w:val="22"/>
        </w:rPr>
        <w:t xml:space="preserve">Future </w:t>
      </w:r>
      <w:r w:rsidR="004B6910">
        <w:rPr>
          <w:rFonts w:eastAsia="Times New Roman" w:cs="Arial"/>
          <w:sz w:val="22"/>
          <w:szCs w:val="22"/>
        </w:rPr>
        <w:t>additions to CCMS are to be the ability for more customers to be able to apply for citizenship by grant online (family groups and children) and first time child passport applicants (currently the only type of applicants unable to apply for passports online).</w:t>
      </w:r>
    </w:p>
    <w:p w:rsidR="003259D9" w:rsidRPr="00665191" w:rsidRDefault="003259D9" w:rsidP="003259D9">
      <w:pPr>
        <w:spacing w:before="0" w:after="0" w:line="280" w:lineRule="atLeast"/>
        <w:rPr>
          <w:rFonts w:eastAsia="Times New Roman" w:cs="Arial"/>
          <w:sz w:val="22"/>
          <w:szCs w:val="22"/>
        </w:rPr>
      </w:pPr>
    </w:p>
    <w:p w:rsidR="003259D9" w:rsidRDefault="003259D9" w:rsidP="003259D9">
      <w:pPr>
        <w:spacing w:before="0" w:after="0" w:line="280" w:lineRule="atLeast"/>
        <w:rPr>
          <w:rFonts w:eastAsia="Times New Roman" w:cs="Arial"/>
          <w:sz w:val="22"/>
          <w:szCs w:val="22"/>
        </w:rPr>
      </w:pPr>
      <w:r w:rsidRPr="00665191">
        <w:rPr>
          <w:rFonts w:eastAsia="Times New Roman" w:cs="Arial"/>
          <w:sz w:val="22"/>
          <w:szCs w:val="22"/>
        </w:rPr>
        <w:t>The SDO Customer Experience S</w:t>
      </w:r>
      <w:r w:rsidR="00770E72">
        <w:rPr>
          <w:rFonts w:eastAsia="Times New Roman" w:cs="Arial"/>
          <w:sz w:val="22"/>
          <w:szCs w:val="22"/>
        </w:rPr>
        <w:t>urvey is being run again in 2019/20</w:t>
      </w:r>
      <w:r w:rsidRPr="00665191">
        <w:rPr>
          <w:rFonts w:eastAsia="Times New Roman" w:cs="Arial"/>
          <w:sz w:val="22"/>
          <w:szCs w:val="22"/>
        </w:rPr>
        <w:t xml:space="preserve"> with results expected t</w:t>
      </w:r>
      <w:r w:rsidR="00F1047D">
        <w:rPr>
          <w:rFonts w:eastAsia="Times New Roman" w:cs="Arial"/>
          <w:sz w:val="22"/>
          <w:szCs w:val="22"/>
        </w:rPr>
        <w:t>o be published late January 20</w:t>
      </w:r>
      <w:r w:rsidR="00770E72">
        <w:rPr>
          <w:rFonts w:eastAsia="Times New Roman" w:cs="Arial"/>
          <w:sz w:val="22"/>
          <w:szCs w:val="22"/>
        </w:rPr>
        <w:t>21</w:t>
      </w:r>
      <w:r w:rsidR="00A40254">
        <w:rPr>
          <w:rFonts w:eastAsia="Times New Roman" w:cs="Arial"/>
          <w:sz w:val="22"/>
          <w:szCs w:val="22"/>
        </w:rPr>
        <w:t xml:space="preserve">. </w:t>
      </w:r>
    </w:p>
    <w:p w:rsidR="00FC1054" w:rsidRPr="00FC1054" w:rsidRDefault="00FC1054" w:rsidP="003259D9">
      <w:pPr>
        <w:spacing w:before="0" w:after="0" w:line="280" w:lineRule="atLeast"/>
        <w:rPr>
          <w:rFonts w:eastAsia="Times New Roman" w:cs="Arial"/>
          <w:sz w:val="22"/>
          <w:szCs w:val="22"/>
        </w:rPr>
      </w:pPr>
    </w:p>
    <w:p w:rsidR="003259D9" w:rsidRPr="00665191" w:rsidRDefault="003259D9" w:rsidP="003259D9">
      <w:pPr>
        <w:spacing w:before="0" w:after="0" w:line="280" w:lineRule="atLeast"/>
        <w:rPr>
          <w:rFonts w:eastAsia="Times New Roman"/>
          <w:b/>
          <w:bCs/>
          <w:i/>
          <w:iCs/>
          <w:color w:val="4F81BD"/>
        </w:rPr>
      </w:pPr>
      <w:r w:rsidRPr="00665191">
        <w:rPr>
          <w:rFonts w:eastAsia="Times New Roman"/>
          <w:b/>
          <w:bCs/>
          <w:i/>
          <w:iCs/>
          <w:color w:val="4F81BD"/>
        </w:rPr>
        <w:t>Methodology</w:t>
      </w:r>
    </w:p>
    <w:p w:rsidR="003259D9" w:rsidRPr="00665191" w:rsidRDefault="003259D9" w:rsidP="003259D9">
      <w:pPr>
        <w:spacing w:before="0" w:after="0" w:line="280" w:lineRule="atLeast"/>
        <w:rPr>
          <w:rFonts w:eastAsia="Times New Roman"/>
          <w:b/>
          <w:bCs/>
          <w:iCs/>
          <w:color w:val="4F81BD"/>
        </w:rPr>
      </w:pPr>
    </w:p>
    <w:p w:rsidR="003259D9" w:rsidRPr="00665191" w:rsidRDefault="00A26D4F" w:rsidP="003259D9">
      <w:pPr>
        <w:spacing w:before="0" w:after="0" w:line="280" w:lineRule="atLeast"/>
        <w:rPr>
          <w:rFonts w:eastAsia="Times New Roman" w:cs="Arial"/>
          <w:b/>
        </w:rPr>
      </w:pPr>
      <w:r>
        <w:rPr>
          <w:rFonts w:eastAsia="Times New Roman" w:cs="Arial"/>
          <w:sz w:val="22"/>
          <w:szCs w:val="22"/>
        </w:rPr>
        <w:t>The 2018</w:t>
      </w:r>
      <w:r w:rsidR="003259D9" w:rsidRPr="00665191">
        <w:rPr>
          <w:rFonts w:eastAsia="Times New Roman" w:cs="Arial"/>
          <w:sz w:val="22"/>
          <w:szCs w:val="22"/>
        </w:rPr>
        <w:t>/1</w:t>
      </w:r>
      <w:r>
        <w:rPr>
          <w:rFonts w:eastAsia="Times New Roman" w:cs="Arial"/>
          <w:sz w:val="22"/>
          <w:szCs w:val="22"/>
        </w:rPr>
        <w:t>9</w:t>
      </w:r>
      <w:r w:rsidR="003259D9" w:rsidRPr="00665191">
        <w:rPr>
          <w:rFonts w:eastAsia="Times New Roman" w:cs="Arial"/>
          <w:sz w:val="22"/>
          <w:szCs w:val="22"/>
        </w:rPr>
        <w:t xml:space="preserve"> survey</w:t>
      </w:r>
      <w:r w:rsidR="007F7335">
        <w:rPr>
          <w:rFonts w:eastAsia="Times New Roman" w:cs="Arial"/>
          <w:sz w:val="22"/>
          <w:szCs w:val="22"/>
        </w:rPr>
        <w:t xml:space="preserve"> </w:t>
      </w:r>
      <w:r>
        <w:rPr>
          <w:rFonts w:eastAsia="Times New Roman" w:cs="Arial"/>
          <w:sz w:val="22"/>
          <w:szCs w:val="22"/>
        </w:rPr>
        <w:t>was run continuously during 2018/19</w:t>
      </w:r>
      <w:r w:rsidR="003259D9" w:rsidRPr="00665191">
        <w:rPr>
          <w:rFonts w:eastAsia="Times New Roman" w:cs="Arial"/>
          <w:sz w:val="22"/>
          <w:szCs w:val="22"/>
        </w:rPr>
        <w:t>. Recent customers were asked to participate via a telephone or online survey.</w:t>
      </w:r>
      <w:r>
        <w:rPr>
          <w:rFonts w:eastAsia="Times New Roman" w:cs="Arial"/>
          <w:sz w:val="22"/>
          <w:szCs w:val="22"/>
        </w:rPr>
        <w:t xml:space="preserve">  </w:t>
      </w:r>
      <w:r w:rsidR="00E51C9A">
        <w:rPr>
          <w:rFonts w:eastAsia="Times New Roman" w:cs="Arial"/>
          <w:sz w:val="22"/>
          <w:szCs w:val="22"/>
        </w:rPr>
        <w:t>2596</w:t>
      </w:r>
      <w:r w:rsidR="003259D9" w:rsidRPr="00665191">
        <w:rPr>
          <w:rFonts w:eastAsia="Times New Roman" w:cs="Arial"/>
          <w:sz w:val="22"/>
          <w:szCs w:val="22"/>
        </w:rPr>
        <w:t xml:space="preserve"> customers completed the survey. The m</w:t>
      </w:r>
      <w:r>
        <w:rPr>
          <w:rFonts w:eastAsia="Times New Roman" w:cs="Arial"/>
          <w:sz w:val="22"/>
          <w:szCs w:val="22"/>
        </w:rPr>
        <w:t xml:space="preserve">argin of error is between 3.9% and </w:t>
      </w:r>
      <w:r w:rsidR="003259D9" w:rsidRPr="00665191">
        <w:rPr>
          <w:rFonts w:eastAsia="Times New Roman" w:cs="Arial"/>
          <w:sz w:val="22"/>
          <w:szCs w:val="22"/>
        </w:rPr>
        <w:t>4.8% for each business group.</w:t>
      </w:r>
      <w:r w:rsidR="00B92413">
        <w:rPr>
          <w:rFonts w:eastAsia="Times New Roman" w:cs="Arial"/>
          <w:sz w:val="22"/>
          <w:szCs w:val="22"/>
        </w:rPr>
        <w:t xml:space="preserve"> The margin of erro</w:t>
      </w:r>
      <w:r>
        <w:rPr>
          <w:rFonts w:eastAsia="Times New Roman" w:cs="Arial"/>
          <w:sz w:val="22"/>
          <w:szCs w:val="22"/>
        </w:rPr>
        <w:t>r across the total of SDO is 3.0</w:t>
      </w:r>
      <w:r w:rsidR="00B92413">
        <w:rPr>
          <w:rFonts w:eastAsia="Times New Roman" w:cs="Arial"/>
          <w:sz w:val="22"/>
          <w:szCs w:val="22"/>
        </w:rPr>
        <w:t>%.</w:t>
      </w:r>
    </w:p>
    <w:p w:rsidR="004737E1" w:rsidRDefault="004737E1" w:rsidP="003259D9">
      <w:pPr>
        <w:rPr>
          <w:b/>
        </w:rPr>
      </w:pPr>
    </w:p>
    <w:sectPr w:rsidR="004737E1" w:rsidSect="003259D9">
      <w:headerReference w:type="default" r:id="rId19"/>
      <w:footerReference w:type="default" r:id="rId20"/>
      <w:headerReference w:type="first" r:id="rId21"/>
      <w:footerReference w:type="first" r:id="rId22"/>
      <w:footnotePr>
        <w:numRestart w:val="eachSect"/>
      </w:footnotePr>
      <w:pgSz w:w="11907" w:h="16840" w:code="9"/>
      <w:pgMar w:top="1077" w:right="1418" w:bottom="992"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D44" w:rsidRDefault="008B6D44">
      <w:r>
        <w:separator/>
      </w:r>
    </w:p>
    <w:p w:rsidR="008B6D44" w:rsidRDefault="008B6D44"/>
    <w:p w:rsidR="008B6D44" w:rsidRDefault="008B6D44"/>
  </w:endnote>
  <w:endnote w:type="continuationSeparator" w:id="0">
    <w:p w:rsidR="008B6D44" w:rsidRDefault="008B6D44">
      <w:r>
        <w:continuationSeparator/>
      </w:r>
    </w:p>
    <w:p w:rsidR="008B6D44" w:rsidRDefault="008B6D44"/>
    <w:p w:rsidR="008B6D44" w:rsidRDefault="008B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98" w:rsidRDefault="00E03A98" w:rsidP="002916D9">
    <w:pPr>
      <w:pStyle w:val="Footer"/>
      <w:tabs>
        <w:tab w:val="center" w:pos="4536"/>
        <w:tab w:val="right" w:pos="9071"/>
      </w:tabs>
      <w:ind w:right="-1"/>
    </w:pPr>
    <w:r>
      <w:tab/>
    </w:r>
    <w:r>
      <w:tab/>
      <w:t xml:space="preserve">Page </w:t>
    </w:r>
    <w:r>
      <w:fldChar w:fldCharType="begin"/>
    </w:r>
    <w:r>
      <w:instrText xml:space="preserve"> PAGE  \* Arabic  \* MERGEFORMAT </w:instrText>
    </w:r>
    <w:r>
      <w:fldChar w:fldCharType="separate"/>
    </w:r>
    <w:r w:rsidR="00A139D6">
      <w:rPr>
        <w:noProof/>
      </w:rPr>
      <w:t>6</w:t>
    </w:r>
    <w:r>
      <w:fldChar w:fldCharType="end"/>
    </w:r>
    <w:r>
      <w:t xml:space="preserve"> of </w:t>
    </w:r>
    <w:r w:rsidR="00DB53CE">
      <w:rPr>
        <w:noProof/>
      </w:rPr>
      <w:fldChar w:fldCharType="begin"/>
    </w:r>
    <w:r w:rsidR="00DB53CE">
      <w:rPr>
        <w:noProof/>
      </w:rPr>
      <w:instrText xml:space="preserve"> NUMPAGES   \* MERGEFORMAT </w:instrText>
    </w:r>
    <w:r w:rsidR="00DB53CE">
      <w:rPr>
        <w:noProof/>
      </w:rPr>
      <w:fldChar w:fldCharType="separate"/>
    </w:r>
    <w:r w:rsidR="00A139D6">
      <w:rPr>
        <w:noProof/>
      </w:rPr>
      <w:t>11</w:t>
    </w:r>
    <w:r w:rsidR="00DB53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98" w:rsidRPr="00C8703D" w:rsidRDefault="00E03A98" w:rsidP="00C14892">
    <w:pPr>
      <w:pStyle w:val="Footer"/>
      <w:tabs>
        <w:tab w:val="center" w:pos="4536"/>
        <w:tab w:val="right" w:pos="9071"/>
      </w:tabs>
      <w:ind w:right="-1"/>
    </w:pPr>
    <w:r>
      <w:tab/>
    </w:r>
    <w:r>
      <w:tab/>
      <w:t xml:space="preserve">Page </w:t>
    </w:r>
    <w:r>
      <w:fldChar w:fldCharType="begin"/>
    </w:r>
    <w:r>
      <w:instrText xml:space="preserve"> PAGE  \* Arabic  \* MERGEFORMAT </w:instrText>
    </w:r>
    <w:r>
      <w:fldChar w:fldCharType="separate"/>
    </w:r>
    <w:r w:rsidR="00A139D6">
      <w:rPr>
        <w:noProof/>
      </w:rPr>
      <w:t>1</w:t>
    </w:r>
    <w:r>
      <w:fldChar w:fldCharType="end"/>
    </w:r>
    <w:r>
      <w:t xml:space="preserve"> of </w:t>
    </w:r>
    <w:r w:rsidR="00DB53CE">
      <w:rPr>
        <w:noProof/>
      </w:rPr>
      <w:fldChar w:fldCharType="begin"/>
    </w:r>
    <w:r w:rsidR="00DB53CE">
      <w:rPr>
        <w:noProof/>
      </w:rPr>
      <w:instrText xml:space="preserve"> NUMPAGES   \* MERGEFORMAT </w:instrText>
    </w:r>
    <w:r w:rsidR="00DB53CE">
      <w:rPr>
        <w:noProof/>
      </w:rPr>
      <w:fldChar w:fldCharType="separate"/>
    </w:r>
    <w:r w:rsidR="00A139D6">
      <w:rPr>
        <w:noProof/>
      </w:rPr>
      <w:t>11</w:t>
    </w:r>
    <w:r w:rsidR="00DB53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D44" w:rsidRDefault="008B6D44" w:rsidP="00C70BCA">
      <w:pPr>
        <w:pStyle w:val="Spacer"/>
      </w:pPr>
      <w:r>
        <w:separator/>
      </w:r>
    </w:p>
  </w:footnote>
  <w:footnote w:type="continuationSeparator" w:id="0">
    <w:p w:rsidR="008B6D44" w:rsidRDefault="008B6D44">
      <w:r>
        <w:continuationSeparator/>
      </w:r>
    </w:p>
    <w:p w:rsidR="008B6D44" w:rsidRDefault="008B6D44"/>
    <w:p w:rsidR="008B6D44" w:rsidRDefault="008B6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98" w:rsidRPr="00CD3498" w:rsidRDefault="00E03A98" w:rsidP="00C8703D">
    <w:pPr>
      <w:pStyle w:val="Header"/>
      <w:tabs>
        <w:tab w:val="right" w:pos="9072"/>
      </w:tabs>
    </w:pPr>
    <w:r w:rsidRPr="00CD3498">
      <w:tab/>
      <w:t>The Department of Internal Affairs</w:t>
    </w:r>
  </w:p>
  <w:p w:rsidR="00E03A98" w:rsidRDefault="00E03A98" w:rsidP="00460B3F">
    <w:pPr>
      <w:pStyle w:val="Header"/>
      <w:tabs>
        <w:tab w:val="right" w:pos="9072"/>
      </w:tabs>
    </w:pPr>
    <w:r w:rsidRPr="00CD3498">
      <w:tab/>
      <w:t>Te Tari Taiwhenua</w:t>
    </w:r>
    <w:r w:rsidRPr="00CD34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A98" w:rsidRDefault="00497820" w:rsidP="00406D44">
    <w:pPr>
      <w:pStyle w:val="Tinyline"/>
    </w:pPr>
    <w:r>
      <w:rPr>
        <w:noProof/>
        <w:lang w:eastAsia="en-NZ"/>
      </w:rPr>
      <w:drawing>
        <wp:anchor distT="0" distB="0" distL="114300" distR="114300" simplePos="0" relativeHeight="251659264" behindDoc="0" locked="0" layoutInCell="1" allowOverlap="1" wp14:anchorId="27245FA2" wp14:editId="39758139">
          <wp:simplePos x="0" y="0"/>
          <wp:positionH relativeFrom="column">
            <wp:posOffset>3419475</wp:posOffset>
          </wp:positionH>
          <wp:positionV relativeFrom="paragraph">
            <wp:posOffset>22860</wp:posOffset>
          </wp:positionV>
          <wp:extent cx="2338705" cy="627380"/>
          <wp:effectExtent l="0" t="0" r="0" b="1270"/>
          <wp:wrapSquare wrapText="bothSides"/>
          <wp:docPr id="2" name="Picture 2"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02BA46F3"/>
    <w:multiLevelType w:val="multilevel"/>
    <w:tmpl w:val="DE282D76"/>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304" w:hanging="737"/>
      </w:pPr>
      <w:rPr>
        <w:rFonts w:hint="default"/>
      </w:rPr>
    </w:lvl>
    <w:lvl w:ilvl="2">
      <w:start w:val="1"/>
      <w:numFmt w:val="decimal"/>
      <w:pStyle w:val="Numberedpara3level3111"/>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1" w15:restartNumberingAfterBreak="0">
    <w:nsid w:val="07795030"/>
    <w:multiLevelType w:val="hybridMultilevel"/>
    <w:tmpl w:val="F6FCA3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0D580D4D"/>
    <w:multiLevelType w:val="hybridMultilevel"/>
    <w:tmpl w:val="05EEEA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8940A63"/>
    <w:multiLevelType w:val="hybridMultilevel"/>
    <w:tmpl w:val="7220B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91D2901"/>
    <w:multiLevelType w:val="hybridMultilevel"/>
    <w:tmpl w:val="78143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497D"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7" w15:restartNumberingAfterBreak="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0DD5241"/>
    <w:multiLevelType w:val="hybridMultilevel"/>
    <w:tmpl w:val="C0564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8F5832"/>
    <w:multiLevelType w:val="multilevel"/>
    <w:tmpl w:val="D40EB578"/>
    <w:lvl w:ilvl="0">
      <w:start w:val="1"/>
      <w:numFmt w:val="upperLetter"/>
      <w:pStyle w:val="Headingappendix"/>
      <w:suff w:val="space"/>
      <w:lvlText w:val="Appendix %1:"/>
      <w:lvlJc w:val="left"/>
      <w:pPr>
        <w:ind w:left="0" w:firstLine="0"/>
      </w:pPr>
      <w:rPr>
        <w:rFonts w:ascii="Calibri" w:hAnsi="Calibri" w:hint="default"/>
        <w:b/>
        <w:i w:val="0"/>
        <w:caps w:val="0"/>
        <w:strike w:val="0"/>
        <w:dstrike w:val="0"/>
        <w:vanish w:val="0"/>
        <w:color w:val="000000" w:themeColor="text1"/>
        <w:sz w:val="26"/>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4941A94"/>
    <w:multiLevelType w:val="hybridMultilevel"/>
    <w:tmpl w:val="70D884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506446F"/>
    <w:multiLevelType w:val="hybridMultilevel"/>
    <w:tmpl w:val="A80084BA"/>
    <w:lvl w:ilvl="0" w:tplc="813A0CCE">
      <w:start w:val="1"/>
      <w:numFmt w:val="lowerLetter"/>
      <w:lvlText w:val="%1)"/>
      <w:lvlJc w:val="left"/>
      <w:pPr>
        <w:ind w:left="927"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CA7A4C"/>
    <w:multiLevelType w:val="hybridMultilevel"/>
    <w:tmpl w:val="FC5A9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15:restartNumberingAfterBreak="0">
    <w:nsid w:val="6B055DD5"/>
    <w:multiLevelType w:val="hybridMultilevel"/>
    <w:tmpl w:val="E7984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15:restartNumberingAfterBreak="0">
    <w:nsid w:val="6DAE04EA"/>
    <w:multiLevelType w:val="hybridMultilevel"/>
    <w:tmpl w:val="65165B2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15:restartNumberingAfterBreak="0">
    <w:nsid w:val="724F0CF4"/>
    <w:multiLevelType w:val="multilevel"/>
    <w:tmpl w:val="5B30CED2"/>
    <w:lvl w:ilvl="0">
      <w:start w:val="1"/>
      <w:numFmt w:val="lowerLetter"/>
      <w:lvlText w:val="%1)"/>
      <w:lvlJc w:val="left"/>
      <w:pPr>
        <w:ind w:left="1134" w:hanging="567"/>
      </w:pPr>
      <w:rPr>
        <w:rFonts w:hint="default"/>
        <w:b w:val="0"/>
        <w:i w:val="0"/>
      </w:rPr>
    </w:lvl>
    <w:lvl w:ilvl="1">
      <w:start w:val="1"/>
      <w:numFmt w:val="lowerRoman"/>
      <w:lvlText w:val="%2."/>
      <w:lvlJc w:val="left"/>
      <w:pPr>
        <w:ind w:left="1701" w:hanging="567"/>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7" w15:restartNumberingAfterBreak="0">
    <w:nsid w:val="74A22B95"/>
    <w:multiLevelType w:val="hybridMultilevel"/>
    <w:tmpl w:val="42F4E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9" w15:restartNumberingAfterBreak="0">
    <w:nsid w:val="7A0B5DCC"/>
    <w:multiLevelType w:val="hybridMultilevel"/>
    <w:tmpl w:val="3D9874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B985B67"/>
    <w:multiLevelType w:val="hybridMultilevel"/>
    <w:tmpl w:val="18E6B718"/>
    <w:lvl w:ilvl="0" w:tplc="8B1C3386">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6"/>
  </w:num>
  <w:num w:numId="11">
    <w:abstractNumId w:val="28"/>
  </w:num>
  <w:num w:numId="12">
    <w:abstractNumId w:val="21"/>
  </w:num>
  <w:num w:numId="13">
    <w:abstractNumId w:val="16"/>
  </w:num>
  <w:num w:numId="14">
    <w:abstractNumId w:val="29"/>
  </w:num>
  <w:num w:numId="15">
    <w:abstractNumId w:val="31"/>
  </w:num>
  <w:num w:numId="16">
    <w:abstractNumId w:val="35"/>
  </w:num>
  <w:num w:numId="17">
    <w:abstractNumId w:val="10"/>
  </w:num>
  <w:num w:numId="18">
    <w:abstractNumId w:val="19"/>
  </w:num>
  <w:num w:numId="19">
    <w:abstractNumId w:val="23"/>
  </w:num>
  <w:num w:numId="20">
    <w:abstractNumId w:val="38"/>
  </w:num>
  <w:num w:numId="21">
    <w:abstractNumId w:val="33"/>
  </w:num>
  <w:num w:numId="22">
    <w:abstractNumId w:val="30"/>
  </w:num>
  <w:num w:numId="23">
    <w:abstractNumId w:val="24"/>
  </w:num>
  <w:num w:numId="24">
    <w:abstractNumId w:val="20"/>
  </w:num>
  <w:num w:numId="25">
    <w:abstractNumId w:val="12"/>
  </w:num>
  <w:num w:numId="26">
    <w:abstractNumId w:val="9"/>
  </w:num>
  <w:num w:numId="27">
    <w:abstractNumId w:val="17"/>
  </w:num>
  <w:num w:numId="28">
    <w:abstractNumId w:val="25"/>
  </w:num>
  <w:num w:numId="29">
    <w:abstractNumId w:val="36"/>
  </w:num>
  <w:num w:numId="30">
    <w:abstractNumId w:val="22"/>
  </w:num>
  <w:num w:numId="31">
    <w:abstractNumId w:val="34"/>
  </w:num>
  <w:num w:numId="32">
    <w:abstractNumId w:val="14"/>
  </w:num>
  <w:num w:numId="33">
    <w:abstractNumId w:val="40"/>
  </w:num>
  <w:num w:numId="34">
    <w:abstractNumId w:val="32"/>
  </w:num>
  <w:num w:numId="35">
    <w:abstractNumId w:val="27"/>
  </w:num>
  <w:num w:numId="36">
    <w:abstractNumId w:val="37"/>
  </w:num>
  <w:num w:numId="37">
    <w:abstractNumId w:val="11"/>
  </w:num>
  <w:num w:numId="38">
    <w:abstractNumId w:val="15"/>
  </w:num>
  <w:num w:numId="39">
    <w:abstractNumId w:val="18"/>
  </w:num>
  <w:num w:numId="40">
    <w:abstractNumId w:val="13"/>
  </w:num>
  <w:num w:numId="41">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characterSpacingControl w:val="doNotCompress"/>
  <w:hdrShapeDefaults>
    <o:shapedefaults v:ext="edit" spidmax="2056"/>
  </w:hdrShapeDefaults>
  <w:footnotePr>
    <w:numRestart w:val="eachSect"/>
    <w:footnote w:id="-1"/>
    <w:footnote w:id="0"/>
  </w:footnotePr>
  <w:endnotePr>
    <w:pos w:val="sectEnd"/>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8D9"/>
    <w:rsid w:val="00003360"/>
    <w:rsid w:val="00005919"/>
    <w:rsid w:val="00006A2C"/>
    <w:rsid w:val="00015020"/>
    <w:rsid w:val="0001647B"/>
    <w:rsid w:val="00020010"/>
    <w:rsid w:val="00020FAF"/>
    <w:rsid w:val="000236DA"/>
    <w:rsid w:val="00024BD8"/>
    <w:rsid w:val="00032B62"/>
    <w:rsid w:val="00034673"/>
    <w:rsid w:val="00036671"/>
    <w:rsid w:val="00037226"/>
    <w:rsid w:val="000409E2"/>
    <w:rsid w:val="00042F19"/>
    <w:rsid w:val="00044EA1"/>
    <w:rsid w:val="0004515A"/>
    <w:rsid w:val="0005649A"/>
    <w:rsid w:val="00057B57"/>
    <w:rsid w:val="000628DA"/>
    <w:rsid w:val="00063BB2"/>
    <w:rsid w:val="00065F18"/>
    <w:rsid w:val="00067005"/>
    <w:rsid w:val="00072FAC"/>
    <w:rsid w:val="00076035"/>
    <w:rsid w:val="00077013"/>
    <w:rsid w:val="00084413"/>
    <w:rsid w:val="00091C3A"/>
    <w:rsid w:val="000963E5"/>
    <w:rsid w:val="000A6F27"/>
    <w:rsid w:val="000C1B18"/>
    <w:rsid w:val="000C230C"/>
    <w:rsid w:val="000D0329"/>
    <w:rsid w:val="000D4DF0"/>
    <w:rsid w:val="000D606F"/>
    <w:rsid w:val="000D61F6"/>
    <w:rsid w:val="000E0646"/>
    <w:rsid w:val="000E3240"/>
    <w:rsid w:val="000E3EF6"/>
    <w:rsid w:val="000E677B"/>
    <w:rsid w:val="000F0314"/>
    <w:rsid w:val="000F4ADF"/>
    <w:rsid w:val="000F5529"/>
    <w:rsid w:val="000F5D5E"/>
    <w:rsid w:val="000F61AF"/>
    <w:rsid w:val="0010171C"/>
    <w:rsid w:val="00102FAD"/>
    <w:rsid w:val="0011396D"/>
    <w:rsid w:val="00115E3B"/>
    <w:rsid w:val="00121870"/>
    <w:rsid w:val="00133156"/>
    <w:rsid w:val="001367AD"/>
    <w:rsid w:val="00136A66"/>
    <w:rsid w:val="00136B1A"/>
    <w:rsid w:val="00140DAA"/>
    <w:rsid w:val="00140ED2"/>
    <w:rsid w:val="00143E7C"/>
    <w:rsid w:val="001446F2"/>
    <w:rsid w:val="00160BE3"/>
    <w:rsid w:val="0016433D"/>
    <w:rsid w:val="00165861"/>
    <w:rsid w:val="00171F45"/>
    <w:rsid w:val="0017276A"/>
    <w:rsid w:val="00184C0F"/>
    <w:rsid w:val="0018527D"/>
    <w:rsid w:val="001A45F9"/>
    <w:rsid w:val="001A5F55"/>
    <w:rsid w:val="001A6E22"/>
    <w:rsid w:val="001C0031"/>
    <w:rsid w:val="001C0C30"/>
    <w:rsid w:val="001C1382"/>
    <w:rsid w:val="001C2E1A"/>
    <w:rsid w:val="001C5850"/>
    <w:rsid w:val="001D0111"/>
    <w:rsid w:val="001D0EC1"/>
    <w:rsid w:val="001D2F6E"/>
    <w:rsid w:val="001E2210"/>
    <w:rsid w:val="001E2825"/>
    <w:rsid w:val="001E64FC"/>
    <w:rsid w:val="002002BB"/>
    <w:rsid w:val="002007DF"/>
    <w:rsid w:val="00202AAA"/>
    <w:rsid w:val="00203601"/>
    <w:rsid w:val="00205FE8"/>
    <w:rsid w:val="00206BA3"/>
    <w:rsid w:val="00207075"/>
    <w:rsid w:val="00213416"/>
    <w:rsid w:val="00214081"/>
    <w:rsid w:val="00215160"/>
    <w:rsid w:val="00216483"/>
    <w:rsid w:val="002224B4"/>
    <w:rsid w:val="00226D5E"/>
    <w:rsid w:val="002313CD"/>
    <w:rsid w:val="002375F5"/>
    <w:rsid w:val="00237A3D"/>
    <w:rsid w:val="00240E83"/>
    <w:rsid w:val="002502D1"/>
    <w:rsid w:val="002568A9"/>
    <w:rsid w:val="00260A17"/>
    <w:rsid w:val="00262187"/>
    <w:rsid w:val="00270EEC"/>
    <w:rsid w:val="002774FE"/>
    <w:rsid w:val="002806A2"/>
    <w:rsid w:val="002852E3"/>
    <w:rsid w:val="002916D9"/>
    <w:rsid w:val="00296EA2"/>
    <w:rsid w:val="00297CC7"/>
    <w:rsid w:val="002A194F"/>
    <w:rsid w:val="002A4BD9"/>
    <w:rsid w:val="002A4FE7"/>
    <w:rsid w:val="002B1CEB"/>
    <w:rsid w:val="002C5F4F"/>
    <w:rsid w:val="002D3125"/>
    <w:rsid w:val="002D4F42"/>
    <w:rsid w:val="002D61CC"/>
    <w:rsid w:val="002E11B2"/>
    <w:rsid w:val="002F2F61"/>
    <w:rsid w:val="002F4C1B"/>
    <w:rsid w:val="0030084C"/>
    <w:rsid w:val="003039E1"/>
    <w:rsid w:val="003129BA"/>
    <w:rsid w:val="003148FC"/>
    <w:rsid w:val="003259D9"/>
    <w:rsid w:val="0032623C"/>
    <w:rsid w:val="00326A47"/>
    <w:rsid w:val="003279AF"/>
    <w:rsid w:val="00330820"/>
    <w:rsid w:val="003465C8"/>
    <w:rsid w:val="0037016B"/>
    <w:rsid w:val="00370FC0"/>
    <w:rsid w:val="00373206"/>
    <w:rsid w:val="003737ED"/>
    <w:rsid w:val="00375919"/>
    <w:rsid w:val="00375B80"/>
    <w:rsid w:val="00376851"/>
    <w:rsid w:val="00377352"/>
    <w:rsid w:val="003860E9"/>
    <w:rsid w:val="00392006"/>
    <w:rsid w:val="0039348E"/>
    <w:rsid w:val="003A10DA"/>
    <w:rsid w:val="003A12C8"/>
    <w:rsid w:val="003A61FF"/>
    <w:rsid w:val="003A6FFE"/>
    <w:rsid w:val="003A7695"/>
    <w:rsid w:val="003B3A23"/>
    <w:rsid w:val="003B41D1"/>
    <w:rsid w:val="003B6592"/>
    <w:rsid w:val="003C482C"/>
    <w:rsid w:val="003C772C"/>
    <w:rsid w:val="003F2B58"/>
    <w:rsid w:val="003F5886"/>
    <w:rsid w:val="0040020C"/>
    <w:rsid w:val="00401CA0"/>
    <w:rsid w:val="00404431"/>
    <w:rsid w:val="00406B66"/>
    <w:rsid w:val="00406D44"/>
    <w:rsid w:val="0040700B"/>
    <w:rsid w:val="00407F54"/>
    <w:rsid w:val="00407F55"/>
    <w:rsid w:val="00411341"/>
    <w:rsid w:val="004129C6"/>
    <w:rsid w:val="00413966"/>
    <w:rsid w:val="00413AF5"/>
    <w:rsid w:val="00415CDB"/>
    <w:rsid w:val="00420852"/>
    <w:rsid w:val="004231DC"/>
    <w:rsid w:val="0042551E"/>
    <w:rsid w:val="00431B7C"/>
    <w:rsid w:val="00433AD8"/>
    <w:rsid w:val="0043556D"/>
    <w:rsid w:val="00440043"/>
    <w:rsid w:val="00446CD6"/>
    <w:rsid w:val="00454769"/>
    <w:rsid w:val="004552A0"/>
    <w:rsid w:val="00457E34"/>
    <w:rsid w:val="00460A83"/>
    <w:rsid w:val="00460B3F"/>
    <w:rsid w:val="00464752"/>
    <w:rsid w:val="00472878"/>
    <w:rsid w:val="004737E1"/>
    <w:rsid w:val="00476068"/>
    <w:rsid w:val="004763B3"/>
    <w:rsid w:val="00477619"/>
    <w:rsid w:val="00486E6E"/>
    <w:rsid w:val="004875DF"/>
    <w:rsid w:val="00487C1D"/>
    <w:rsid w:val="004923B9"/>
    <w:rsid w:val="00493AD9"/>
    <w:rsid w:val="004946D5"/>
    <w:rsid w:val="00494C6F"/>
    <w:rsid w:val="00497820"/>
    <w:rsid w:val="004A0301"/>
    <w:rsid w:val="004A39DF"/>
    <w:rsid w:val="004A3E05"/>
    <w:rsid w:val="004A489B"/>
    <w:rsid w:val="004A5823"/>
    <w:rsid w:val="004A6DF8"/>
    <w:rsid w:val="004B0AAF"/>
    <w:rsid w:val="004B10B9"/>
    <w:rsid w:val="004B3924"/>
    <w:rsid w:val="004B6910"/>
    <w:rsid w:val="004C21B6"/>
    <w:rsid w:val="004C4864"/>
    <w:rsid w:val="004C4DDD"/>
    <w:rsid w:val="004C6953"/>
    <w:rsid w:val="004C7001"/>
    <w:rsid w:val="004D1706"/>
    <w:rsid w:val="004D243F"/>
    <w:rsid w:val="004D7473"/>
    <w:rsid w:val="004E11CB"/>
    <w:rsid w:val="005001B9"/>
    <w:rsid w:val="00501C4B"/>
    <w:rsid w:val="00502FEC"/>
    <w:rsid w:val="00510D73"/>
    <w:rsid w:val="00512ACB"/>
    <w:rsid w:val="0052216D"/>
    <w:rsid w:val="00524087"/>
    <w:rsid w:val="00524552"/>
    <w:rsid w:val="00526115"/>
    <w:rsid w:val="005312C2"/>
    <w:rsid w:val="00533FAF"/>
    <w:rsid w:val="00534B4D"/>
    <w:rsid w:val="005366B6"/>
    <w:rsid w:val="00537EA8"/>
    <w:rsid w:val="00550646"/>
    <w:rsid w:val="00554BCD"/>
    <w:rsid w:val="00561A97"/>
    <w:rsid w:val="00562289"/>
    <w:rsid w:val="00563DAC"/>
    <w:rsid w:val="00565F3E"/>
    <w:rsid w:val="005675E0"/>
    <w:rsid w:val="00570A71"/>
    <w:rsid w:val="00570C00"/>
    <w:rsid w:val="0058206B"/>
    <w:rsid w:val="00583AA2"/>
    <w:rsid w:val="00585690"/>
    <w:rsid w:val="00587989"/>
    <w:rsid w:val="00592E6E"/>
    <w:rsid w:val="00595B33"/>
    <w:rsid w:val="0059662F"/>
    <w:rsid w:val="00597B77"/>
    <w:rsid w:val="005B3D3D"/>
    <w:rsid w:val="005C0923"/>
    <w:rsid w:val="005C0A3A"/>
    <w:rsid w:val="005D3066"/>
    <w:rsid w:val="005E1D9D"/>
    <w:rsid w:val="005E3818"/>
    <w:rsid w:val="005E4B13"/>
    <w:rsid w:val="005E4C02"/>
    <w:rsid w:val="005E5D6A"/>
    <w:rsid w:val="005E6385"/>
    <w:rsid w:val="005F01DF"/>
    <w:rsid w:val="005F12A6"/>
    <w:rsid w:val="005F22E1"/>
    <w:rsid w:val="005F2954"/>
    <w:rsid w:val="005F76CC"/>
    <w:rsid w:val="005F7FF8"/>
    <w:rsid w:val="006004C4"/>
    <w:rsid w:val="00600CA4"/>
    <w:rsid w:val="00602416"/>
    <w:rsid w:val="006025CE"/>
    <w:rsid w:val="00603B07"/>
    <w:rsid w:val="006041F2"/>
    <w:rsid w:val="006064F5"/>
    <w:rsid w:val="0061541C"/>
    <w:rsid w:val="00617298"/>
    <w:rsid w:val="00617B89"/>
    <w:rsid w:val="00624C89"/>
    <w:rsid w:val="00633C17"/>
    <w:rsid w:val="006341A3"/>
    <w:rsid w:val="00637753"/>
    <w:rsid w:val="00640CFC"/>
    <w:rsid w:val="006416C0"/>
    <w:rsid w:val="00650192"/>
    <w:rsid w:val="00662716"/>
    <w:rsid w:val="006639FB"/>
    <w:rsid w:val="00676C9F"/>
    <w:rsid w:val="00677B13"/>
    <w:rsid w:val="00677F4E"/>
    <w:rsid w:val="00681A08"/>
    <w:rsid w:val="00685ECF"/>
    <w:rsid w:val="006875B8"/>
    <w:rsid w:val="00687CEA"/>
    <w:rsid w:val="00694E01"/>
    <w:rsid w:val="00695171"/>
    <w:rsid w:val="00695B75"/>
    <w:rsid w:val="006A1A95"/>
    <w:rsid w:val="006A38B7"/>
    <w:rsid w:val="006A4D61"/>
    <w:rsid w:val="006A5C31"/>
    <w:rsid w:val="006B1CB2"/>
    <w:rsid w:val="006B1DD1"/>
    <w:rsid w:val="006B3396"/>
    <w:rsid w:val="006B3C61"/>
    <w:rsid w:val="006B7A2F"/>
    <w:rsid w:val="006C195E"/>
    <w:rsid w:val="006C1970"/>
    <w:rsid w:val="006C6B85"/>
    <w:rsid w:val="006D25AA"/>
    <w:rsid w:val="006D638F"/>
    <w:rsid w:val="006E4EFB"/>
    <w:rsid w:val="006E7BF7"/>
    <w:rsid w:val="006F5262"/>
    <w:rsid w:val="00701B3F"/>
    <w:rsid w:val="0070677B"/>
    <w:rsid w:val="007068C8"/>
    <w:rsid w:val="0071120B"/>
    <w:rsid w:val="00715B8F"/>
    <w:rsid w:val="0072111D"/>
    <w:rsid w:val="007300CB"/>
    <w:rsid w:val="0073106E"/>
    <w:rsid w:val="00732085"/>
    <w:rsid w:val="007409FB"/>
    <w:rsid w:val="00746386"/>
    <w:rsid w:val="00747DB3"/>
    <w:rsid w:val="00755142"/>
    <w:rsid w:val="00755426"/>
    <w:rsid w:val="00756BB7"/>
    <w:rsid w:val="0075764B"/>
    <w:rsid w:val="00760C01"/>
    <w:rsid w:val="00761293"/>
    <w:rsid w:val="00767ADD"/>
    <w:rsid w:val="00767C04"/>
    <w:rsid w:val="00770DB2"/>
    <w:rsid w:val="00770E72"/>
    <w:rsid w:val="007723F0"/>
    <w:rsid w:val="007736A2"/>
    <w:rsid w:val="00775350"/>
    <w:rsid w:val="0077668B"/>
    <w:rsid w:val="00777729"/>
    <w:rsid w:val="00795A52"/>
    <w:rsid w:val="007A28D9"/>
    <w:rsid w:val="007A6226"/>
    <w:rsid w:val="007B3C61"/>
    <w:rsid w:val="007D0935"/>
    <w:rsid w:val="007D1918"/>
    <w:rsid w:val="007D26C4"/>
    <w:rsid w:val="007E4C7B"/>
    <w:rsid w:val="007F03F2"/>
    <w:rsid w:val="007F6727"/>
    <w:rsid w:val="007F7335"/>
    <w:rsid w:val="008054FD"/>
    <w:rsid w:val="008065D7"/>
    <w:rsid w:val="00811D1C"/>
    <w:rsid w:val="00816E30"/>
    <w:rsid w:val="0082264B"/>
    <w:rsid w:val="0082765B"/>
    <w:rsid w:val="008352B1"/>
    <w:rsid w:val="00835BD7"/>
    <w:rsid w:val="008428E8"/>
    <w:rsid w:val="00843D71"/>
    <w:rsid w:val="00846F11"/>
    <w:rsid w:val="0084745A"/>
    <w:rsid w:val="00864EEC"/>
    <w:rsid w:val="00870045"/>
    <w:rsid w:val="00873CEB"/>
    <w:rsid w:val="00876E5F"/>
    <w:rsid w:val="008849ED"/>
    <w:rsid w:val="00884A12"/>
    <w:rsid w:val="00886360"/>
    <w:rsid w:val="00890CE4"/>
    <w:rsid w:val="00891ED7"/>
    <w:rsid w:val="008938A6"/>
    <w:rsid w:val="008A06AE"/>
    <w:rsid w:val="008A23B1"/>
    <w:rsid w:val="008A2FDD"/>
    <w:rsid w:val="008A3975"/>
    <w:rsid w:val="008B1FF2"/>
    <w:rsid w:val="008B6D44"/>
    <w:rsid w:val="008B7B54"/>
    <w:rsid w:val="008C25A7"/>
    <w:rsid w:val="008C2E36"/>
    <w:rsid w:val="008C3187"/>
    <w:rsid w:val="008C5E4F"/>
    <w:rsid w:val="008D0850"/>
    <w:rsid w:val="008D2826"/>
    <w:rsid w:val="008D63B7"/>
    <w:rsid w:val="008D6A03"/>
    <w:rsid w:val="008D6CA7"/>
    <w:rsid w:val="008E0648"/>
    <w:rsid w:val="008E4787"/>
    <w:rsid w:val="008E7FEE"/>
    <w:rsid w:val="008F31F5"/>
    <w:rsid w:val="008F5D90"/>
    <w:rsid w:val="008F67F5"/>
    <w:rsid w:val="008F6BCE"/>
    <w:rsid w:val="00900D4B"/>
    <w:rsid w:val="00905F9B"/>
    <w:rsid w:val="009170B9"/>
    <w:rsid w:val="00923A87"/>
    <w:rsid w:val="009269E4"/>
    <w:rsid w:val="00927482"/>
    <w:rsid w:val="009279BB"/>
    <w:rsid w:val="00936FF5"/>
    <w:rsid w:val="00942B10"/>
    <w:rsid w:val="00942B23"/>
    <w:rsid w:val="0095112B"/>
    <w:rsid w:val="0095712A"/>
    <w:rsid w:val="00961DDB"/>
    <w:rsid w:val="00964D6E"/>
    <w:rsid w:val="00973A6D"/>
    <w:rsid w:val="00974010"/>
    <w:rsid w:val="00980BC0"/>
    <w:rsid w:val="0098489F"/>
    <w:rsid w:val="009865AA"/>
    <w:rsid w:val="00987080"/>
    <w:rsid w:val="009870EE"/>
    <w:rsid w:val="0098765A"/>
    <w:rsid w:val="00987CD6"/>
    <w:rsid w:val="00990573"/>
    <w:rsid w:val="009968B0"/>
    <w:rsid w:val="00996F70"/>
    <w:rsid w:val="009A57D2"/>
    <w:rsid w:val="009A6CB2"/>
    <w:rsid w:val="009B0982"/>
    <w:rsid w:val="009B4C99"/>
    <w:rsid w:val="009B6FD3"/>
    <w:rsid w:val="009C13FB"/>
    <w:rsid w:val="009C4CFB"/>
    <w:rsid w:val="009D195F"/>
    <w:rsid w:val="009D1E36"/>
    <w:rsid w:val="009D28CF"/>
    <w:rsid w:val="009E20AC"/>
    <w:rsid w:val="009E5D36"/>
    <w:rsid w:val="009E6375"/>
    <w:rsid w:val="009E7CA0"/>
    <w:rsid w:val="009F0666"/>
    <w:rsid w:val="00A04392"/>
    <w:rsid w:val="00A069CE"/>
    <w:rsid w:val="00A07846"/>
    <w:rsid w:val="00A07CAB"/>
    <w:rsid w:val="00A103EF"/>
    <w:rsid w:val="00A109D8"/>
    <w:rsid w:val="00A111A2"/>
    <w:rsid w:val="00A139D6"/>
    <w:rsid w:val="00A16003"/>
    <w:rsid w:val="00A167D7"/>
    <w:rsid w:val="00A23D39"/>
    <w:rsid w:val="00A23EC2"/>
    <w:rsid w:val="00A24FBB"/>
    <w:rsid w:val="00A26D4F"/>
    <w:rsid w:val="00A3453E"/>
    <w:rsid w:val="00A3549D"/>
    <w:rsid w:val="00A3578E"/>
    <w:rsid w:val="00A40254"/>
    <w:rsid w:val="00A418D1"/>
    <w:rsid w:val="00A42ED2"/>
    <w:rsid w:val="00A44B33"/>
    <w:rsid w:val="00A50E00"/>
    <w:rsid w:val="00A52529"/>
    <w:rsid w:val="00A53624"/>
    <w:rsid w:val="00A5427B"/>
    <w:rsid w:val="00A55EAF"/>
    <w:rsid w:val="00A5766B"/>
    <w:rsid w:val="00A6556F"/>
    <w:rsid w:val="00A6579C"/>
    <w:rsid w:val="00A67F7E"/>
    <w:rsid w:val="00A713BD"/>
    <w:rsid w:val="00A77512"/>
    <w:rsid w:val="00A806A1"/>
    <w:rsid w:val="00A821C9"/>
    <w:rsid w:val="00A863E3"/>
    <w:rsid w:val="00A91908"/>
    <w:rsid w:val="00A944C9"/>
    <w:rsid w:val="00A95D28"/>
    <w:rsid w:val="00A97BFB"/>
    <w:rsid w:val="00AA1A41"/>
    <w:rsid w:val="00AA246D"/>
    <w:rsid w:val="00AB0BBC"/>
    <w:rsid w:val="00AB3A92"/>
    <w:rsid w:val="00AB478B"/>
    <w:rsid w:val="00AB47AC"/>
    <w:rsid w:val="00AB4AD9"/>
    <w:rsid w:val="00AB5B01"/>
    <w:rsid w:val="00AC3D09"/>
    <w:rsid w:val="00AD6E77"/>
    <w:rsid w:val="00AD7A25"/>
    <w:rsid w:val="00AE030D"/>
    <w:rsid w:val="00AE2666"/>
    <w:rsid w:val="00AE5D10"/>
    <w:rsid w:val="00AF3A5A"/>
    <w:rsid w:val="00AF3E15"/>
    <w:rsid w:val="00AF5218"/>
    <w:rsid w:val="00B00FAE"/>
    <w:rsid w:val="00B0480E"/>
    <w:rsid w:val="00B05909"/>
    <w:rsid w:val="00B10236"/>
    <w:rsid w:val="00B1026A"/>
    <w:rsid w:val="00B127B7"/>
    <w:rsid w:val="00B1444E"/>
    <w:rsid w:val="00B21166"/>
    <w:rsid w:val="00B263AE"/>
    <w:rsid w:val="00B317C1"/>
    <w:rsid w:val="00B33102"/>
    <w:rsid w:val="00B33A6C"/>
    <w:rsid w:val="00B47091"/>
    <w:rsid w:val="00B51461"/>
    <w:rsid w:val="00B56534"/>
    <w:rsid w:val="00B57A21"/>
    <w:rsid w:val="00B62C3E"/>
    <w:rsid w:val="00B645DE"/>
    <w:rsid w:val="00B65857"/>
    <w:rsid w:val="00B66698"/>
    <w:rsid w:val="00B745DC"/>
    <w:rsid w:val="00B77D41"/>
    <w:rsid w:val="00B82437"/>
    <w:rsid w:val="00B82E92"/>
    <w:rsid w:val="00B84350"/>
    <w:rsid w:val="00B855A6"/>
    <w:rsid w:val="00B87FE5"/>
    <w:rsid w:val="00B91098"/>
    <w:rsid w:val="00B91904"/>
    <w:rsid w:val="00B92413"/>
    <w:rsid w:val="00B9256D"/>
    <w:rsid w:val="00B92735"/>
    <w:rsid w:val="00B969ED"/>
    <w:rsid w:val="00BA00B2"/>
    <w:rsid w:val="00BA77F1"/>
    <w:rsid w:val="00BB0D90"/>
    <w:rsid w:val="00BB60C6"/>
    <w:rsid w:val="00BB7984"/>
    <w:rsid w:val="00BC147F"/>
    <w:rsid w:val="00BC1A9B"/>
    <w:rsid w:val="00BC6A06"/>
    <w:rsid w:val="00BD137C"/>
    <w:rsid w:val="00BD1CA7"/>
    <w:rsid w:val="00BE1AD4"/>
    <w:rsid w:val="00BE3329"/>
    <w:rsid w:val="00BE3BC7"/>
    <w:rsid w:val="00BE4B0B"/>
    <w:rsid w:val="00BE6E50"/>
    <w:rsid w:val="00BF1AB7"/>
    <w:rsid w:val="00BF3DA0"/>
    <w:rsid w:val="00BF764C"/>
    <w:rsid w:val="00BF7FE9"/>
    <w:rsid w:val="00C03596"/>
    <w:rsid w:val="00C05EEC"/>
    <w:rsid w:val="00C11738"/>
    <w:rsid w:val="00C11EC8"/>
    <w:rsid w:val="00C11EF5"/>
    <w:rsid w:val="00C14892"/>
    <w:rsid w:val="00C15489"/>
    <w:rsid w:val="00C15A13"/>
    <w:rsid w:val="00C238D9"/>
    <w:rsid w:val="00C24A9D"/>
    <w:rsid w:val="00C2677E"/>
    <w:rsid w:val="00C31542"/>
    <w:rsid w:val="00C319A9"/>
    <w:rsid w:val="00C323CA"/>
    <w:rsid w:val="00C41C61"/>
    <w:rsid w:val="00C42C1C"/>
    <w:rsid w:val="00C436A4"/>
    <w:rsid w:val="00C44659"/>
    <w:rsid w:val="00C5526B"/>
    <w:rsid w:val="00C6078D"/>
    <w:rsid w:val="00C657CF"/>
    <w:rsid w:val="00C70BCA"/>
    <w:rsid w:val="00C72561"/>
    <w:rsid w:val="00C76304"/>
    <w:rsid w:val="00C80D62"/>
    <w:rsid w:val="00C82F18"/>
    <w:rsid w:val="00C8388B"/>
    <w:rsid w:val="00C84944"/>
    <w:rsid w:val="00C8703D"/>
    <w:rsid w:val="00C934E9"/>
    <w:rsid w:val="00C93635"/>
    <w:rsid w:val="00C96BFD"/>
    <w:rsid w:val="00C96C98"/>
    <w:rsid w:val="00CA5358"/>
    <w:rsid w:val="00CB1DCA"/>
    <w:rsid w:val="00CC0CC1"/>
    <w:rsid w:val="00CC30AD"/>
    <w:rsid w:val="00CC4895"/>
    <w:rsid w:val="00CC5121"/>
    <w:rsid w:val="00CC51AC"/>
    <w:rsid w:val="00CD1ECF"/>
    <w:rsid w:val="00CD502A"/>
    <w:rsid w:val="00CD7CA6"/>
    <w:rsid w:val="00CF12CF"/>
    <w:rsid w:val="00CF4BE3"/>
    <w:rsid w:val="00D060D2"/>
    <w:rsid w:val="00D07A84"/>
    <w:rsid w:val="00D10004"/>
    <w:rsid w:val="00D13E2D"/>
    <w:rsid w:val="00D14394"/>
    <w:rsid w:val="00D16FB4"/>
    <w:rsid w:val="00D17AD4"/>
    <w:rsid w:val="00D242CD"/>
    <w:rsid w:val="00D3123B"/>
    <w:rsid w:val="00D341C3"/>
    <w:rsid w:val="00D37B7C"/>
    <w:rsid w:val="00D42843"/>
    <w:rsid w:val="00D5152A"/>
    <w:rsid w:val="00D65145"/>
    <w:rsid w:val="00D74314"/>
    <w:rsid w:val="00D81410"/>
    <w:rsid w:val="00D92505"/>
    <w:rsid w:val="00D93B34"/>
    <w:rsid w:val="00DA267C"/>
    <w:rsid w:val="00DA2999"/>
    <w:rsid w:val="00DA5101"/>
    <w:rsid w:val="00DA79EF"/>
    <w:rsid w:val="00DB0C0B"/>
    <w:rsid w:val="00DB3B74"/>
    <w:rsid w:val="00DB4DEB"/>
    <w:rsid w:val="00DB53CE"/>
    <w:rsid w:val="00DB7179"/>
    <w:rsid w:val="00DC5870"/>
    <w:rsid w:val="00DD0384"/>
    <w:rsid w:val="00DD0901"/>
    <w:rsid w:val="00DD3D49"/>
    <w:rsid w:val="00DE11C6"/>
    <w:rsid w:val="00DE16B6"/>
    <w:rsid w:val="00DE3323"/>
    <w:rsid w:val="00DE36CA"/>
    <w:rsid w:val="00DE6A39"/>
    <w:rsid w:val="00DE7E63"/>
    <w:rsid w:val="00DF1AD9"/>
    <w:rsid w:val="00DF2C01"/>
    <w:rsid w:val="00DF43A6"/>
    <w:rsid w:val="00DF77A2"/>
    <w:rsid w:val="00E01EE6"/>
    <w:rsid w:val="00E03A98"/>
    <w:rsid w:val="00E11895"/>
    <w:rsid w:val="00E11B58"/>
    <w:rsid w:val="00E12005"/>
    <w:rsid w:val="00E13002"/>
    <w:rsid w:val="00E152FE"/>
    <w:rsid w:val="00E21229"/>
    <w:rsid w:val="00E27503"/>
    <w:rsid w:val="00E367C5"/>
    <w:rsid w:val="00E37E71"/>
    <w:rsid w:val="00E42486"/>
    <w:rsid w:val="00E42847"/>
    <w:rsid w:val="00E43E7C"/>
    <w:rsid w:val="00E46064"/>
    <w:rsid w:val="00E477AC"/>
    <w:rsid w:val="00E51411"/>
    <w:rsid w:val="00E51C9A"/>
    <w:rsid w:val="00E604A1"/>
    <w:rsid w:val="00E65010"/>
    <w:rsid w:val="00E73AA8"/>
    <w:rsid w:val="00E80228"/>
    <w:rsid w:val="00E8405F"/>
    <w:rsid w:val="00E85B62"/>
    <w:rsid w:val="00E8651B"/>
    <w:rsid w:val="00E86D2A"/>
    <w:rsid w:val="00E87336"/>
    <w:rsid w:val="00E90D7C"/>
    <w:rsid w:val="00E9485D"/>
    <w:rsid w:val="00EA2ED4"/>
    <w:rsid w:val="00EA491A"/>
    <w:rsid w:val="00EB043B"/>
    <w:rsid w:val="00EB1583"/>
    <w:rsid w:val="00EB54A9"/>
    <w:rsid w:val="00EB5680"/>
    <w:rsid w:val="00EC19A5"/>
    <w:rsid w:val="00EC23FB"/>
    <w:rsid w:val="00ED7681"/>
    <w:rsid w:val="00EE243C"/>
    <w:rsid w:val="00EE64DD"/>
    <w:rsid w:val="00EE7CE9"/>
    <w:rsid w:val="00EF5B47"/>
    <w:rsid w:val="00EF63C6"/>
    <w:rsid w:val="00EF6592"/>
    <w:rsid w:val="00F0306B"/>
    <w:rsid w:val="00F034FB"/>
    <w:rsid w:val="00F05606"/>
    <w:rsid w:val="00F1047D"/>
    <w:rsid w:val="00F105F5"/>
    <w:rsid w:val="00F1075A"/>
    <w:rsid w:val="00F10BA4"/>
    <w:rsid w:val="00F17BD8"/>
    <w:rsid w:val="00F22E82"/>
    <w:rsid w:val="00F2483A"/>
    <w:rsid w:val="00F27359"/>
    <w:rsid w:val="00F337BF"/>
    <w:rsid w:val="00F33D14"/>
    <w:rsid w:val="00F37A8C"/>
    <w:rsid w:val="00F4551F"/>
    <w:rsid w:val="00F45E46"/>
    <w:rsid w:val="00F473B6"/>
    <w:rsid w:val="00F52E57"/>
    <w:rsid w:val="00F53E06"/>
    <w:rsid w:val="00F54188"/>
    <w:rsid w:val="00F54CC0"/>
    <w:rsid w:val="00F56DB0"/>
    <w:rsid w:val="00F57A71"/>
    <w:rsid w:val="00F64327"/>
    <w:rsid w:val="00F727A5"/>
    <w:rsid w:val="00F75A41"/>
    <w:rsid w:val="00F847A9"/>
    <w:rsid w:val="00F85B71"/>
    <w:rsid w:val="00F9093A"/>
    <w:rsid w:val="00FA19F2"/>
    <w:rsid w:val="00FA5375"/>
    <w:rsid w:val="00FA5FE9"/>
    <w:rsid w:val="00FA67D2"/>
    <w:rsid w:val="00FB08A5"/>
    <w:rsid w:val="00FB302F"/>
    <w:rsid w:val="00FB5A92"/>
    <w:rsid w:val="00FC085B"/>
    <w:rsid w:val="00FC1054"/>
    <w:rsid w:val="00FC1C69"/>
    <w:rsid w:val="00FC2183"/>
    <w:rsid w:val="00FC2A41"/>
    <w:rsid w:val="00FC3739"/>
    <w:rsid w:val="00FC7349"/>
    <w:rsid w:val="00FE5AD9"/>
    <w:rsid w:val="00FE747A"/>
    <w:rsid w:val="00FE7A33"/>
    <w:rsid w:val="00FF3300"/>
    <w:rsid w:val="00FF78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786013F"/>
  <w15:docId w15:val="{85135A53-C6A7-4388-A75E-1F00801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A3A"/>
    <w:rPr>
      <w:rFonts w:eastAsiaTheme="minorHAnsi"/>
      <w:lang w:eastAsia="en-US"/>
    </w:rPr>
  </w:style>
  <w:style w:type="paragraph" w:styleId="Heading1">
    <w:name w:val="heading 1"/>
    <w:basedOn w:val="Normal"/>
    <w:next w:val="Normal"/>
    <w:link w:val="Heading1Char"/>
    <w:semiHidden/>
    <w:qFormat/>
    <w:rsid w:val="00974010"/>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semiHidden/>
    <w:qFormat/>
    <w:rsid w:val="00974010"/>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97401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974010"/>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974010"/>
    <w:pPr>
      <w:keepNext/>
      <w:spacing w:before="360"/>
      <w:outlineLvl w:val="4"/>
    </w:pPr>
    <w:rPr>
      <w:b/>
      <w:bCs/>
      <w:iCs/>
      <w:szCs w:val="26"/>
    </w:rPr>
  </w:style>
  <w:style w:type="paragraph" w:styleId="Heading6">
    <w:name w:val="heading 6"/>
    <w:basedOn w:val="Normal"/>
    <w:next w:val="Normal"/>
    <w:link w:val="Heading6Char"/>
    <w:uiPriority w:val="1"/>
    <w:semiHidden/>
    <w:qFormat/>
    <w:rsid w:val="00974010"/>
    <w:pPr>
      <w:spacing w:before="360"/>
      <w:outlineLvl w:val="5"/>
    </w:pPr>
    <w:rPr>
      <w:b/>
      <w:bCs/>
      <w:i/>
      <w:szCs w:val="22"/>
    </w:rPr>
  </w:style>
  <w:style w:type="paragraph" w:styleId="Heading7">
    <w:name w:val="heading 7"/>
    <w:basedOn w:val="Normal"/>
    <w:next w:val="Normal"/>
    <w:uiPriority w:val="99"/>
    <w:semiHidden/>
    <w:qFormat/>
    <w:rsid w:val="00974010"/>
    <w:pPr>
      <w:spacing w:after="60"/>
      <w:outlineLvl w:val="6"/>
    </w:pPr>
  </w:style>
  <w:style w:type="paragraph" w:styleId="Heading8">
    <w:name w:val="heading 8"/>
    <w:basedOn w:val="Normal"/>
    <w:next w:val="Normal"/>
    <w:uiPriority w:val="99"/>
    <w:semiHidden/>
    <w:qFormat/>
    <w:rsid w:val="00974010"/>
    <w:pPr>
      <w:spacing w:after="60"/>
      <w:outlineLvl w:val="7"/>
    </w:pPr>
    <w:rPr>
      <w:i/>
      <w:iCs/>
    </w:rPr>
  </w:style>
  <w:style w:type="paragraph" w:styleId="Heading9">
    <w:name w:val="heading 9"/>
    <w:basedOn w:val="Normal"/>
    <w:next w:val="Normal"/>
    <w:uiPriority w:val="99"/>
    <w:semiHidden/>
    <w:qFormat/>
    <w:rsid w:val="00974010"/>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974010"/>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497D"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semiHidden/>
    <w:rsid w:val="00974010"/>
    <w:rPr>
      <w:rFonts w:eastAsiaTheme="minorHAnsi" w:cs="Arial"/>
      <w:b/>
      <w:bCs/>
      <w:color w:val="1F497D"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974010"/>
    <w:rPr>
      <w:b/>
      <w:bCs/>
    </w:rPr>
  </w:style>
  <w:style w:type="paragraph" w:styleId="Subtitle">
    <w:name w:val="Subtitle"/>
    <w:basedOn w:val="Normal"/>
    <w:uiPriority w:val="1"/>
    <w:semiHidden/>
    <w:qFormat/>
    <w:rsid w:val="00974010"/>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974010"/>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3"/>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3"/>
      </w:numPr>
      <w:outlineLvl w:val="5"/>
    </w:pPr>
  </w:style>
  <w:style w:type="paragraph" w:customStyle="1" w:styleId="Headingnumbered2">
    <w:name w:val="Heading numbered 2"/>
    <w:basedOn w:val="Heading2"/>
    <w:next w:val="Normal"/>
    <w:uiPriority w:val="1"/>
    <w:semiHidden/>
    <w:rsid w:val="00065F18"/>
    <w:pPr>
      <w:numPr>
        <w:ilvl w:val="1"/>
        <w:numId w:val="13"/>
      </w:numPr>
      <w:outlineLvl w:val="6"/>
    </w:pPr>
  </w:style>
  <w:style w:type="paragraph" w:customStyle="1" w:styleId="Headingnumbered3">
    <w:name w:val="Heading numbered 3"/>
    <w:basedOn w:val="Normal"/>
    <w:next w:val="Normal"/>
    <w:uiPriority w:val="1"/>
    <w:semiHidden/>
    <w:rsid w:val="00065F18"/>
    <w:pPr>
      <w:numPr>
        <w:ilvl w:val="2"/>
        <w:numId w:val="13"/>
      </w:numPr>
      <w:spacing w:before="36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3"/>
      </w:numPr>
      <w:spacing w:before="360"/>
      <w:contextualSpacing/>
    </w:pPr>
    <w:rPr>
      <w:b/>
      <w:i/>
      <w:color w:val="1F546B"/>
    </w:rPr>
  </w:style>
  <w:style w:type="paragraph" w:customStyle="1" w:styleId="Tinyline">
    <w:name w:val="Tiny line"/>
    <w:basedOn w:val="Normal"/>
    <w:qFormat/>
    <w:rsid w:val="00974010"/>
    <w:pPr>
      <w:spacing w:before="0" w:after="0"/>
    </w:pPr>
    <w:rPr>
      <w:sz w:val="8"/>
    </w:rPr>
  </w:style>
  <w:style w:type="paragraph" w:customStyle="1" w:styleId="Numberedpara1level3a">
    <w:name w:val="Numbered para (1) level 3 (a)"/>
    <w:basedOn w:val="Normal"/>
    <w:semiHidden/>
    <w:unhideWhenUsed/>
    <w:rsid w:val="00065F18"/>
    <w:pPr>
      <w:numPr>
        <w:ilvl w:val="2"/>
        <w:numId w:val="25"/>
      </w:numPr>
    </w:pPr>
  </w:style>
  <w:style w:type="paragraph" w:customStyle="1" w:styleId="Numberedpara1level4i">
    <w:name w:val="Numbered para (1) level 4 (i)"/>
    <w:basedOn w:val="Normal"/>
    <w:semiHidden/>
    <w:unhideWhenUsed/>
    <w:rsid w:val="00065F18"/>
    <w:pPr>
      <w:numPr>
        <w:ilvl w:val="3"/>
        <w:numId w:val="25"/>
      </w:numPr>
    </w:pPr>
  </w:style>
  <w:style w:type="paragraph" w:customStyle="1" w:styleId="Bullet">
    <w:name w:val="Bullet"/>
    <w:basedOn w:val="Normal"/>
    <w:rsid w:val="004E11CB"/>
    <w:pPr>
      <w:numPr>
        <w:numId w:val="14"/>
      </w:numPr>
      <w:spacing w:before="80" w:after="80"/>
    </w:pPr>
  </w:style>
  <w:style w:type="paragraph" w:customStyle="1" w:styleId="Bulletlevel2">
    <w:name w:val="Bullet level 2"/>
    <w:basedOn w:val="Normal"/>
    <w:uiPriority w:val="1"/>
    <w:semiHidden/>
    <w:rsid w:val="00065F18"/>
    <w:pPr>
      <w:numPr>
        <w:ilvl w:val="1"/>
        <w:numId w:val="14"/>
      </w:numPr>
      <w:spacing w:before="80" w:after="80"/>
    </w:pPr>
  </w:style>
  <w:style w:type="paragraph" w:customStyle="1" w:styleId="Bulletlevel3">
    <w:name w:val="Bullet level 3"/>
    <w:basedOn w:val="Normal"/>
    <w:uiPriority w:val="1"/>
    <w:semiHidden/>
    <w:rsid w:val="00065F18"/>
    <w:pPr>
      <w:numPr>
        <w:ilvl w:val="2"/>
        <w:numId w:val="14"/>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semiHidden/>
    <w:rsid w:val="00974010"/>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5"/>
      </w:numPr>
    </w:pPr>
  </w:style>
  <w:style w:type="paragraph" w:customStyle="1" w:styleId="Tablebulletlevel2">
    <w:name w:val="Table bullet level 2"/>
    <w:basedOn w:val="Tablenormal0"/>
    <w:uiPriority w:val="99"/>
    <w:semiHidden/>
    <w:rsid w:val="00065F18"/>
    <w:pPr>
      <w:numPr>
        <w:ilvl w:val="1"/>
        <w:numId w:val="15"/>
      </w:numPr>
    </w:pPr>
  </w:style>
  <w:style w:type="paragraph" w:customStyle="1" w:styleId="TableBulletListLevel3">
    <w:name w:val="Table Bullet List Level 3"/>
    <w:basedOn w:val="BodyTextTable"/>
    <w:uiPriority w:val="11"/>
    <w:semiHidden/>
    <w:rsid w:val="00065F18"/>
    <w:pPr>
      <w:numPr>
        <w:ilvl w:val="2"/>
        <w:numId w:val="15"/>
      </w:numPr>
      <w:spacing w:before="60" w:after="60"/>
    </w:pPr>
  </w:style>
  <w:style w:type="paragraph" w:customStyle="1" w:styleId="Tablelist123">
    <w:name w:val="Table list 1 2 3"/>
    <w:basedOn w:val="Tablenormal0"/>
    <w:rsid w:val="00065F18"/>
    <w:pPr>
      <w:numPr>
        <w:numId w:val="17"/>
      </w:numPr>
    </w:pPr>
  </w:style>
  <w:style w:type="paragraph" w:customStyle="1" w:styleId="Tablelist123level2">
    <w:name w:val="Table list 1 2 3 level 2"/>
    <w:basedOn w:val="Tablenormal0"/>
    <w:semiHidden/>
    <w:rsid w:val="00065F18"/>
    <w:pPr>
      <w:numPr>
        <w:ilvl w:val="1"/>
        <w:numId w:val="17"/>
      </w:numPr>
    </w:pPr>
  </w:style>
  <w:style w:type="character" w:customStyle="1" w:styleId="Heading4Char">
    <w:name w:val="Heading 4 Char"/>
    <w:basedOn w:val="DefaultParagraphFont"/>
    <w:link w:val="Heading4"/>
    <w:semiHidden/>
    <w:rsid w:val="00974010"/>
    <w:rPr>
      <w:rFonts w:eastAsiaTheme="minorHAnsi"/>
      <w:b/>
      <w:bCs/>
      <w:i/>
      <w:color w:val="1F497D" w:themeColor="text2"/>
      <w:szCs w:val="28"/>
      <w:lang w:eastAsia="en-US"/>
    </w:rPr>
  </w:style>
  <w:style w:type="paragraph" w:customStyle="1" w:styleId="BodyTextTableLevel1">
    <w:name w:val="Body Text Table Level 1"/>
    <w:basedOn w:val="BodyTextTable"/>
    <w:uiPriority w:val="11"/>
    <w:semiHidden/>
    <w:rsid w:val="00065F18"/>
    <w:pPr>
      <w:numPr>
        <w:numId w:val="16"/>
      </w:numPr>
    </w:pPr>
  </w:style>
  <w:style w:type="paragraph" w:customStyle="1" w:styleId="BodyTextTableLevel2">
    <w:name w:val="Body Text Table Level 2"/>
    <w:basedOn w:val="BodyTextTable"/>
    <w:uiPriority w:val="11"/>
    <w:semiHidden/>
    <w:rsid w:val="00065F18"/>
    <w:pPr>
      <w:numPr>
        <w:ilvl w:val="1"/>
        <w:numId w:val="16"/>
      </w:numPr>
    </w:pPr>
  </w:style>
  <w:style w:type="paragraph" w:customStyle="1" w:styleId="BodyTextTableLevel3">
    <w:name w:val="Body Text Table Level 3"/>
    <w:basedOn w:val="BodyTextTable"/>
    <w:uiPriority w:val="11"/>
    <w:semiHidden/>
    <w:rsid w:val="00065F18"/>
    <w:pPr>
      <w:numPr>
        <w:ilvl w:val="3"/>
        <w:numId w:val="17"/>
      </w:numPr>
    </w:pPr>
  </w:style>
  <w:style w:type="paragraph" w:styleId="Caption">
    <w:name w:val="caption"/>
    <w:basedOn w:val="Normal"/>
    <w:next w:val="Normal"/>
    <w:qFormat/>
    <w:rsid w:val="008E4787"/>
    <w:pPr>
      <w:keepNext/>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7D0935"/>
    <w:pPr>
      <w:pageBreakBefore/>
      <w:numPr>
        <w:numId w:val="18"/>
      </w:numPr>
      <w:tabs>
        <w:tab w:val="left" w:pos="2268"/>
      </w:tabs>
      <w:spacing w:before="0"/>
      <w:outlineLvl w:val="7"/>
    </w:pPr>
    <w:rPr>
      <w:color w:val="000000" w:themeColor="text1"/>
      <w:sz w:val="26"/>
    </w:rPr>
  </w:style>
  <w:style w:type="paragraph" w:customStyle="1" w:styleId="NotforContentsheading1">
    <w:name w:val="Not for Contents heading 1"/>
    <w:basedOn w:val="Normal"/>
    <w:next w:val="Normal"/>
    <w:semiHidden/>
    <w:rsid w:val="00065F18"/>
    <w:pPr>
      <w:keepNext/>
      <w:spacing w:before="48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974010"/>
    <w:pPr>
      <w:numPr>
        <w:ilvl w:val="1"/>
        <w:numId w:val="20"/>
      </w:numPr>
      <w:spacing w:before="80" w:after="80"/>
    </w:pPr>
  </w:style>
  <w:style w:type="paragraph" w:customStyle="1" w:styleId="NotforContentsheading2">
    <w:name w:val="Not for Contents heading 2"/>
    <w:basedOn w:val="Normal"/>
    <w:next w:val="Normal"/>
    <w:semiHidden/>
    <w:rsid w:val="00065F18"/>
    <w:pPr>
      <w:keepNext/>
      <w:spacing w:before="360"/>
      <w:contextualSpacing/>
    </w:pPr>
    <w:rPr>
      <w:b/>
      <w:color w:val="1F546B"/>
      <w:sz w:val="36"/>
    </w:rPr>
  </w:style>
  <w:style w:type="character" w:customStyle="1" w:styleId="Heading3Char">
    <w:name w:val="Heading 3 Char"/>
    <w:link w:val="Heading3"/>
    <w:semiHidden/>
    <w:rsid w:val="0097401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0F5529"/>
    <w:pPr>
      <w:spacing w:before="44" w:after="24"/>
    </w:pPr>
    <w:rPr>
      <w:rFonts w:eastAsiaTheme="minorHAnsi" w:cstheme="minorBidi"/>
      <w:sz w:val="22"/>
      <w:lang w:eastAsia="en-US"/>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wordWrap/>
        <w:spacing w:beforeLines="0" w:before="40" w:beforeAutospacing="0" w:afterLines="0" w:after="40"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character" w:styleId="SubtleEmphasis">
    <w:name w:val="Subtle Emphasis"/>
    <w:basedOn w:val="DefaultParagraphFont"/>
    <w:uiPriority w:val="99"/>
    <w:semiHidden/>
    <w:qFormat/>
    <w:rsid w:val="00974010"/>
    <w:rPr>
      <w:i/>
      <w:iCs/>
    </w:rPr>
  </w:style>
  <w:style w:type="character" w:styleId="IntenseEmphasis">
    <w:name w:val="Intense Emphasis"/>
    <w:uiPriority w:val="99"/>
    <w:semiHidden/>
    <w:qFormat/>
    <w:rsid w:val="00974010"/>
    <w:rPr>
      <w:b/>
      <w:i/>
    </w:rPr>
  </w:style>
  <w:style w:type="paragraph" w:styleId="ListParagraph">
    <w:name w:val="List Paragraph"/>
    <w:basedOn w:val="List123"/>
    <w:uiPriority w:val="34"/>
    <w:qFormat/>
    <w:rsid w:val="00974010"/>
    <w:pPr>
      <w:numPr>
        <w:numId w:val="0"/>
      </w:numPr>
    </w:pPr>
  </w:style>
  <w:style w:type="character" w:customStyle="1" w:styleId="Heading5Char">
    <w:name w:val="Heading 5 Char"/>
    <w:basedOn w:val="DefaultParagraphFont"/>
    <w:link w:val="Heading5"/>
    <w:uiPriority w:val="1"/>
    <w:semiHidden/>
    <w:rsid w:val="00974010"/>
    <w:rPr>
      <w:rFonts w:eastAsiaTheme="minorHAnsi"/>
      <w:b/>
      <w:bCs/>
      <w:iCs/>
      <w:szCs w:val="26"/>
      <w:lang w:eastAsia="en-US"/>
    </w:rPr>
  </w:style>
  <w:style w:type="character" w:styleId="SubtleReference">
    <w:name w:val="Subtle Reference"/>
    <w:basedOn w:val="DefaultParagraphFont"/>
    <w:uiPriority w:val="99"/>
    <w:semiHidden/>
    <w:qFormat/>
    <w:rsid w:val="00974010"/>
    <w:rPr>
      <w:rFonts w:ascii="Calibri" w:hAnsi="Calibri"/>
      <w:smallCaps/>
      <w:color w:val="C0504D" w:themeColor="accent2"/>
      <w:u w:val="single"/>
    </w:rPr>
  </w:style>
  <w:style w:type="character" w:styleId="BookTitle">
    <w:name w:val="Book Title"/>
    <w:basedOn w:val="DefaultParagraphFont"/>
    <w:uiPriority w:val="33"/>
    <w:semiHidden/>
    <w:qFormat/>
    <w:rsid w:val="00974010"/>
    <w:rPr>
      <w:rFonts w:ascii="Calibri" w:hAnsi="Calibri"/>
      <w:b/>
      <w:bCs/>
      <w:smallCaps/>
      <w:spacing w:val="5"/>
    </w:rPr>
  </w:style>
  <w:style w:type="character" w:styleId="IntenseReference">
    <w:name w:val="Intense Reference"/>
    <w:basedOn w:val="DefaultParagraphFont"/>
    <w:uiPriority w:val="99"/>
    <w:semiHidden/>
    <w:qFormat/>
    <w:rsid w:val="00974010"/>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974010"/>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974010"/>
    <w:rPr>
      <w:rFonts w:eastAsiaTheme="minorHAnsi"/>
      <w:b/>
      <w:bCs/>
      <w:i/>
      <w:iCs/>
      <w:color w:val="1F497D" w:themeColor="text2"/>
      <w:lang w:eastAsia="en-US"/>
    </w:rPr>
  </w:style>
  <w:style w:type="paragraph" w:customStyle="1" w:styleId="Coverpageheading">
    <w:name w:val="Cover page heading"/>
    <w:basedOn w:val="Normal"/>
    <w:next w:val="Normal"/>
    <w:rsid w:val="00DF43A6"/>
    <w:pPr>
      <w:spacing w:before="0"/>
    </w:pPr>
    <w:rPr>
      <w:b/>
      <w:color w:val="1F497D" w:themeColor="text2"/>
      <w:sz w:val="48"/>
    </w:rPr>
  </w:style>
  <w:style w:type="paragraph" w:customStyle="1" w:styleId="Tablenormal0">
    <w:name w:val="Table normal"/>
    <w:basedOn w:val="Normal"/>
    <w:qFormat/>
    <w:rsid w:val="00974010"/>
    <w:pPr>
      <w:spacing w:before="40" w:after="40"/>
    </w:pPr>
    <w:rPr>
      <w:sz w:val="22"/>
    </w:rPr>
  </w:style>
  <w:style w:type="character" w:customStyle="1" w:styleId="Heading6Char">
    <w:name w:val="Heading 6 Char"/>
    <w:basedOn w:val="DefaultParagraphFont"/>
    <w:link w:val="Heading6"/>
    <w:uiPriority w:val="1"/>
    <w:semiHidden/>
    <w:rsid w:val="00974010"/>
    <w:rPr>
      <w:rFonts w:eastAsiaTheme="minorHAnsi"/>
      <w:b/>
      <w:bCs/>
      <w:i/>
      <w:szCs w:val="22"/>
      <w:lang w:eastAsia="en-US"/>
    </w:rPr>
  </w:style>
  <w:style w:type="paragraph" w:customStyle="1" w:styleId="ListABClevel3">
    <w:name w:val="List A B C level 3"/>
    <w:basedOn w:val="Normal"/>
    <w:uiPriority w:val="1"/>
    <w:semiHidden/>
    <w:qFormat/>
    <w:rsid w:val="00974010"/>
    <w:pPr>
      <w:numPr>
        <w:ilvl w:val="2"/>
        <w:numId w:val="20"/>
      </w:numPr>
      <w:spacing w:before="80" w:after="80"/>
    </w:pPr>
  </w:style>
  <w:style w:type="paragraph" w:customStyle="1" w:styleId="List123level2">
    <w:name w:val="List 1 2 3 level 2"/>
    <w:basedOn w:val="Normal"/>
    <w:uiPriority w:val="1"/>
    <w:qFormat/>
    <w:rsid w:val="00974010"/>
    <w:pPr>
      <w:numPr>
        <w:ilvl w:val="1"/>
        <w:numId w:val="21"/>
      </w:numPr>
      <w:spacing w:before="80" w:after="80"/>
    </w:pPr>
  </w:style>
  <w:style w:type="paragraph" w:customStyle="1" w:styleId="List123level3">
    <w:name w:val="List 1 2 3 level 3"/>
    <w:basedOn w:val="Normal"/>
    <w:uiPriority w:val="1"/>
    <w:qFormat/>
    <w:rsid w:val="00974010"/>
    <w:pPr>
      <w:numPr>
        <w:ilvl w:val="2"/>
        <w:numId w:val="21"/>
      </w:numPr>
      <w:spacing w:before="80" w:after="80"/>
    </w:pPr>
  </w:style>
  <w:style w:type="paragraph" w:customStyle="1" w:styleId="Legislationsection">
    <w:name w:val="Legislation section"/>
    <w:basedOn w:val="Normal"/>
    <w:semiHidden/>
    <w:qFormat/>
    <w:rsid w:val="00974010"/>
    <w:pPr>
      <w:keepNext/>
      <w:numPr>
        <w:numId w:val="23"/>
      </w:numPr>
      <w:spacing w:after="60"/>
    </w:pPr>
    <w:rPr>
      <w:b/>
      <w:sz w:val="22"/>
    </w:rPr>
  </w:style>
  <w:style w:type="paragraph" w:customStyle="1" w:styleId="Legislationnumber">
    <w:name w:val="Legislation number"/>
    <w:basedOn w:val="Normal"/>
    <w:semiHidden/>
    <w:qFormat/>
    <w:rsid w:val="00974010"/>
    <w:pPr>
      <w:numPr>
        <w:numId w:val="22"/>
      </w:numPr>
      <w:tabs>
        <w:tab w:val="left" w:pos="567"/>
      </w:tabs>
      <w:spacing w:before="60" w:after="60"/>
    </w:pPr>
    <w:rPr>
      <w:sz w:val="22"/>
    </w:rPr>
  </w:style>
  <w:style w:type="paragraph" w:customStyle="1" w:styleId="Legislationa">
    <w:name w:val="Legislation (a)"/>
    <w:basedOn w:val="Normal"/>
    <w:semiHidden/>
    <w:qFormat/>
    <w:rsid w:val="00974010"/>
    <w:pPr>
      <w:numPr>
        <w:ilvl w:val="2"/>
        <w:numId w:val="23"/>
      </w:numPr>
      <w:spacing w:before="60" w:after="60"/>
    </w:pPr>
    <w:rPr>
      <w:sz w:val="22"/>
    </w:rPr>
  </w:style>
  <w:style w:type="paragraph" w:customStyle="1" w:styleId="Legislationi">
    <w:name w:val="Legislation (i)"/>
    <w:basedOn w:val="Normal"/>
    <w:semiHidden/>
    <w:qFormat/>
    <w:rsid w:val="00974010"/>
    <w:pPr>
      <w:numPr>
        <w:ilvl w:val="3"/>
        <w:numId w:val="23"/>
      </w:numPr>
      <w:spacing w:before="60" w:after="60"/>
    </w:pPr>
    <w:rPr>
      <w:sz w:val="22"/>
    </w:rPr>
  </w:style>
  <w:style w:type="paragraph" w:customStyle="1" w:styleId="Numberedparaindentonly">
    <w:name w:val="Numbered para indent only"/>
    <w:basedOn w:val="Normal"/>
    <w:qFormat/>
    <w:rsid w:val="00974010"/>
    <w:pPr>
      <w:spacing w:after="120"/>
      <w:ind w:left="567"/>
    </w:pPr>
  </w:style>
  <w:style w:type="paragraph" w:customStyle="1" w:styleId="Spacer">
    <w:name w:val="Spacer"/>
    <w:basedOn w:val="Normal"/>
    <w:qFormat/>
    <w:rsid w:val="00974010"/>
    <w:pPr>
      <w:spacing w:before="0" w:after="0"/>
    </w:pPr>
  </w:style>
  <w:style w:type="paragraph" w:customStyle="1" w:styleId="Page">
    <w:name w:val="Page"/>
    <w:basedOn w:val="Spacer"/>
    <w:semiHidden/>
    <w:qFormat/>
    <w:rsid w:val="00974010"/>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974010"/>
    <w:rPr>
      <w:sz w:val="24"/>
    </w:rPr>
  </w:style>
  <w:style w:type="paragraph" w:customStyle="1" w:styleId="Tableheading12pt">
    <w:name w:val="Table heading 12pt"/>
    <w:basedOn w:val="Tableheading"/>
    <w:semiHidden/>
    <w:qFormat/>
    <w:rsid w:val="00974010"/>
    <w:pPr>
      <w:keepNext/>
    </w:pPr>
    <w:rPr>
      <w:sz w:val="24"/>
    </w:rPr>
  </w:style>
  <w:style w:type="paragraph" w:customStyle="1" w:styleId="Documentationpageheading">
    <w:name w:val="Documentation page heading"/>
    <w:basedOn w:val="Normal"/>
    <w:semiHidden/>
    <w:qFormat/>
    <w:rsid w:val="00974010"/>
    <w:pPr>
      <w:spacing w:after="0"/>
    </w:pPr>
    <w:rPr>
      <w:b/>
      <w:color w:val="1F497D" w:themeColor="text2"/>
      <w:sz w:val="36"/>
    </w:rPr>
  </w:style>
  <w:style w:type="paragraph" w:customStyle="1" w:styleId="Documentationpagesubheading">
    <w:name w:val="Documentation page subheading"/>
    <w:basedOn w:val="Documentationpageheading"/>
    <w:semiHidden/>
    <w:qFormat/>
    <w:rsid w:val="00974010"/>
    <w:rPr>
      <w:sz w:val="28"/>
    </w:rPr>
  </w:style>
  <w:style w:type="paragraph" w:customStyle="1" w:styleId="Documentationpagetable">
    <w:name w:val="Documentation page table"/>
    <w:basedOn w:val="Normal"/>
    <w:semiHidden/>
    <w:qFormat/>
    <w:rsid w:val="00974010"/>
    <w:pPr>
      <w:spacing w:before="44" w:after="24"/>
    </w:pPr>
    <w:rPr>
      <w:rFonts w:cstheme="minorBidi"/>
      <w:sz w:val="20"/>
    </w:rPr>
  </w:style>
  <w:style w:type="paragraph" w:customStyle="1" w:styleId="Documentationpagetableheading">
    <w:name w:val="Documentation page table heading"/>
    <w:basedOn w:val="Normal"/>
    <w:semiHidden/>
    <w:qFormat/>
    <w:rsid w:val="00974010"/>
    <w:pPr>
      <w:spacing w:before="40" w:after="40"/>
    </w:pPr>
    <w:rPr>
      <w:rFonts w:cstheme="minorBidi"/>
      <w:b/>
      <w:color w:val="FFFFFF" w:themeColor="background1"/>
      <w:sz w:val="20"/>
    </w:rPr>
  </w:style>
  <w:style w:type="paragraph" w:customStyle="1" w:styleId="Briefingparasubheading">
    <w:name w:val="Briefing para subheading"/>
    <w:basedOn w:val="Normal"/>
    <w:next w:val="Numberedpara3level1"/>
    <w:qFormat/>
    <w:rsid w:val="00C323CA"/>
    <w:pPr>
      <w:keepNext/>
      <w:spacing w:before="240" w:after="120"/>
    </w:pPr>
    <w:rPr>
      <w:b/>
      <w:i/>
    </w:rPr>
  </w:style>
  <w:style w:type="paragraph" w:customStyle="1" w:styleId="Numberedpara3level1">
    <w:name w:val="Numbered para (3) level 1"/>
    <w:basedOn w:val="Normal"/>
    <w:qFormat/>
    <w:rsid w:val="00974010"/>
    <w:pPr>
      <w:numPr>
        <w:numId w:val="26"/>
      </w:numPr>
      <w:spacing w:after="120"/>
    </w:pPr>
  </w:style>
  <w:style w:type="paragraph" w:customStyle="1" w:styleId="Numberedpara3level211">
    <w:name w:val="Numbered para (3) level 2 (1.1)"/>
    <w:basedOn w:val="Normal"/>
    <w:qFormat/>
    <w:rsid w:val="00A806A1"/>
    <w:pPr>
      <w:numPr>
        <w:ilvl w:val="1"/>
        <w:numId w:val="26"/>
      </w:numPr>
      <w:spacing w:after="120"/>
    </w:pPr>
  </w:style>
  <w:style w:type="paragraph" w:customStyle="1" w:styleId="Recommendations">
    <w:name w:val="Recommendations"/>
    <w:basedOn w:val="Normal"/>
    <w:semiHidden/>
    <w:qFormat/>
    <w:rsid w:val="0017276A"/>
    <w:pPr>
      <w:numPr>
        <w:numId w:val="28"/>
      </w:numPr>
      <w:ind w:left="567" w:hanging="567"/>
    </w:pPr>
  </w:style>
  <w:style w:type="paragraph" w:customStyle="1" w:styleId="Title2">
    <w:name w:val="Title 2"/>
    <w:basedOn w:val="Title"/>
    <w:semiHidden/>
    <w:qFormat/>
    <w:rsid w:val="00974010"/>
    <w:rPr>
      <w:sz w:val="52"/>
    </w:rPr>
  </w:style>
  <w:style w:type="paragraph" w:customStyle="1" w:styleId="Briefingparaheading">
    <w:name w:val="Briefing para heading"/>
    <w:basedOn w:val="Normal"/>
    <w:next w:val="Numberedpara3level1"/>
    <w:qFormat/>
    <w:rsid w:val="00FF3300"/>
    <w:pPr>
      <w:keepNext/>
      <w:spacing w:before="240" w:after="120"/>
    </w:pPr>
    <w:rPr>
      <w:b/>
      <w:sz w:val="26"/>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974010"/>
    <w:rPr>
      <w:b/>
      <w:i/>
      <w:caps/>
      <w:smallCaps w:val="0"/>
      <w:sz w:val="22"/>
    </w:rPr>
  </w:style>
  <w:style w:type="paragraph" w:customStyle="1" w:styleId="Numberedpara1level211">
    <w:name w:val="Numbered para (1) level 2 (1.1)"/>
    <w:basedOn w:val="Normal"/>
    <w:semiHidden/>
    <w:unhideWhenUsed/>
    <w:rsid w:val="00065F18"/>
    <w:pPr>
      <w:numPr>
        <w:ilvl w:val="1"/>
        <w:numId w:val="25"/>
      </w:numPr>
    </w:pPr>
  </w:style>
  <w:style w:type="paragraph" w:customStyle="1" w:styleId="Numberedpara11headingwithnumber">
    <w:name w:val="Numbered para (1) 1 (heading with number)"/>
    <w:basedOn w:val="Normal"/>
    <w:semiHidden/>
    <w:qFormat/>
    <w:rsid w:val="00974010"/>
    <w:pPr>
      <w:keepNext/>
      <w:numPr>
        <w:numId w:val="25"/>
      </w:numPr>
      <w:spacing w:before="240" w:after="120"/>
    </w:pPr>
    <w:rPr>
      <w:b/>
      <w:sz w:val="28"/>
    </w:rPr>
  </w:style>
  <w:style w:type="paragraph" w:customStyle="1" w:styleId="Crossreference">
    <w:name w:val="Cross reference"/>
    <w:basedOn w:val="Normal"/>
    <w:semiHidden/>
    <w:qFormat/>
    <w:rsid w:val="00974010"/>
    <w:rPr>
      <w:i/>
      <w:color w:val="1F497D" w:themeColor="text2"/>
      <w:u w:val="single"/>
    </w:rPr>
  </w:style>
  <w:style w:type="paragraph" w:customStyle="1" w:styleId="Coverpagesubheading">
    <w:name w:val="Cover page subheading"/>
    <w:basedOn w:val="Spacer"/>
    <w:qFormat/>
    <w:rsid w:val="00C934E9"/>
    <w:rPr>
      <w:b/>
      <w:sz w:val="26"/>
    </w:rPr>
  </w:style>
  <w:style w:type="paragraph" w:customStyle="1" w:styleId="Tick">
    <w:name w:val="Tick"/>
    <w:basedOn w:val="Normal"/>
    <w:semiHidden/>
    <w:qFormat/>
    <w:rsid w:val="00C8703D"/>
    <w:pPr>
      <w:spacing w:before="44" w:after="24"/>
      <w:jc w:val="center"/>
    </w:pPr>
    <w:rPr>
      <w:rFonts w:ascii="Wingdings" w:hAnsi="Wingdings" w:cstheme="minorBidi"/>
      <w:sz w:val="28"/>
    </w:rPr>
  </w:style>
  <w:style w:type="paragraph" w:customStyle="1" w:styleId="Numberedpara3level3111">
    <w:name w:val="Numbered para (3) level 3 (1.1.1)"/>
    <w:basedOn w:val="Normal"/>
    <w:qFormat/>
    <w:rsid w:val="00974010"/>
    <w:pPr>
      <w:numPr>
        <w:ilvl w:val="2"/>
        <w:numId w:val="26"/>
      </w:numPr>
      <w:spacing w:after="120"/>
    </w:pPr>
  </w:style>
  <w:style w:type="table" w:customStyle="1" w:styleId="Ministerial">
    <w:name w:val="_Ministerial"/>
    <w:basedOn w:val="TableNormal"/>
    <w:uiPriority w:val="99"/>
    <w:rsid w:val="00AE5D10"/>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paragraph" w:customStyle="1" w:styleId="Tablesource">
    <w:name w:val="Table source"/>
    <w:basedOn w:val="Normal"/>
    <w:next w:val="Numberedpara3level1"/>
    <w:qFormat/>
    <w:rsid w:val="00BA00B2"/>
    <w:pPr>
      <w:spacing w:before="40"/>
      <w:ind w:left="567"/>
    </w:pPr>
    <w:rPr>
      <w:sz w:val="22"/>
    </w:rPr>
  </w:style>
  <w:style w:type="paragraph" w:customStyle="1" w:styleId="FinancialtableLHC">
    <w:name w:val="Financial table LHC"/>
    <w:basedOn w:val="Normal"/>
    <w:semiHidden/>
    <w:qFormat/>
    <w:rsid w:val="00BA00B2"/>
    <w:pPr>
      <w:spacing w:before="0" w:after="0"/>
      <w:contextualSpacing/>
    </w:pPr>
    <w:rPr>
      <w:sz w:val="22"/>
    </w:rPr>
  </w:style>
  <w:style w:type="paragraph" w:customStyle="1" w:styleId="Financialtablefigures">
    <w:name w:val="Financial table figures"/>
    <w:basedOn w:val="FinancialtableLHC"/>
    <w:semiHidden/>
    <w:qFormat/>
    <w:rsid w:val="00BA00B2"/>
    <w:pPr>
      <w:jc w:val="right"/>
    </w:pPr>
  </w:style>
  <w:style w:type="paragraph" w:customStyle="1" w:styleId="Financialtableyears">
    <w:name w:val="Financial table years"/>
    <w:basedOn w:val="Financialtablefigures"/>
    <w:semiHidden/>
    <w:qFormat/>
    <w:rsid w:val="00BA00B2"/>
    <w:pPr>
      <w:jc w:val="center"/>
    </w:pPr>
    <w:rPr>
      <w:b/>
      <w:sz w:val="20"/>
    </w:rPr>
  </w:style>
  <w:style w:type="paragraph" w:customStyle="1" w:styleId="Tableheading2">
    <w:name w:val="Table heading 2"/>
    <w:basedOn w:val="Normal"/>
    <w:qFormat/>
    <w:rsid w:val="007723F0"/>
    <w:pPr>
      <w:spacing w:before="44" w:after="24"/>
    </w:pPr>
    <w:rPr>
      <w:rFonts w:cstheme="minorBidi"/>
      <w:b/>
      <w:sz w:val="22"/>
    </w:rPr>
  </w:style>
  <w:style w:type="paragraph" w:customStyle="1" w:styleId="Priorityrating">
    <w:name w:val="Priority rating"/>
    <w:basedOn w:val="Tablenormal0"/>
    <w:semiHidden/>
    <w:qFormat/>
    <w:rsid w:val="004C4864"/>
    <w:rPr>
      <w:i/>
    </w:rPr>
  </w:style>
  <w:style w:type="paragraph" w:customStyle="1" w:styleId="Numberedpara2subheading">
    <w:name w:val="Numbered para (2) subheading"/>
    <w:basedOn w:val="Normal"/>
    <w:next w:val="Normal"/>
    <w:semiHidden/>
    <w:qFormat/>
    <w:rsid w:val="00974010"/>
    <w:pPr>
      <w:keepNext/>
      <w:spacing w:before="240" w:after="120"/>
    </w:pPr>
    <w:rPr>
      <w:b/>
      <w:i/>
    </w:rPr>
  </w:style>
  <w:style w:type="paragraph" w:customStyle="1" w:styleId="Numberedpara2level1">
    <w:name w:val="Numbered para (2) level 1"/>
    <w:basedOn w:val="Normal"/>
    <w:semiHidden/>
    <w:qFormat/>
    <w:rsid w:val="00974010"/>
    <w:pPr>
      <w:numPr>
        <w:numId w:val="24"/>
      </w:numPr>
      <w:spacing w:after="120"/>
    </w:pPr>
  </w:style>
  <w:style w:type="paragraph" w:customStyle="1" w:styleId="Numberedpara2level2a">
    <w:name w:val="Numbered para (2) level 2 (a)"/>
    <w:basedOn w:val="Normal"/>
    <w:semiHidden/>
    <w:qFormat/>
    <w:rsid w:val="00974010"/>
    <w:pPr>
      <w:numPr>
        <w:ilvl w:val="1"/>
        <w:numId w:val="24"/>
      </w:numPr>
      <w:spacing w:after="120"/>
    </w:pPr>
  </w:style>
  <w:style w:type="paragraph" w:customStyle="1" w:styleId="Numberedpara2level3i">
    <w:name w:val="Numbered para (2) level 3 (i)"/>
    <w:basedOn w:val="Normal"/>
    <w:semiHidden/>
    <w:qFormat/>
    <w:rsid w:val="00974010"/>
    <w:pPr>
      <w:numPr>
        <w:ilvl w:val="2"/>
        <w:numId w:val="24"/>
      </w:numPr>
      <w:spacing w:after="120"/>
    </w:pPr>
  </w:style>
  <w:style w:type="paragraph" w:customStyle="1" w:styleId="Numberedpara2heading">
    <w:name w:val="Numbered para (2) heading"/>
    <w:basedOn w:val="Normal"/>
    <w:semiHidden/>
    <w:qFormat/>
    <w:rsid w:val="00974010"/>
    <w:pPr>
      <w:keepNext/>
      <w:spacing w:before="240" w:after="120"/>
    </w:pPr>
    <w:rPr>
      <w:b/>
      <w:sz w:val="28"/>
    </w:rPr>
  </w:style>
  <w:style w:type="paragraph" w:customStyle="1" w:styleId="Numberedpara3heading">
    <w:name w:val="Numbered para (3) heading"/>
    <w:basedOn w:val="Normal"/>
    <w:semiHidden/>
    <w:qFormat/>
    <w:rsid w:val="00974010"/>
    <w:pPr>
      <w:keepNext/>
      <w:spacing w:before="200" w:after="120"/>
    </w:pPr>
    <w:rPr>
      <w:b/>
    </w:rPr>
  </w:style>
  <w:style w:type="paragraph" w:customStyle="1" w:styleId="Numberedpara3subheading">
    <w:name w:val="Numbered para (3) subheading"/>
    <w:basedOn w:val="Normal"/>
    <w:semiHidden/>
    <w:qFormat/>
    <w:rsid w:val="00974010"/>
    <w:pPr>
      <w:keepNext/>
      <w:spacing w:before="240" w:after="120"/>
    </w:pPr>
    <w:rPr>
      <w:b/>
      <w:i/>
    </w:rPr>
  </w:style>
  <w:style w:type="paragraph" w:customStyle="1" w:styleId="Recommendationslevel2">
    <w:name w:val="Recommendations level 2"/>
    <w:basedOn w:val="Recommendations"/>
    <w:qFormat/>
    <w:rsid w:val="00493AD9"/>
    <w:pPr>
      <w:numPr>
        <w:numId w:val="27"/>
      </w:numPr>
      <w:spacing w:after="120"/>
    </w:pPr>
  </w:style>
  <w:style w:type="paragraph" w:customStyle="1" w:styleId="Recommendationslevel3">
    <w:name w:val="Recommendations level 3"/>
    <w:basedOn w:val="Recommendationslevel2"/>
    <w:qFormat/>
    <w:rsid w:val="00592E6E"/>
    <w:pPr>
      <w:numPr>
        <w:ilvl w:val="1"/>
      </w:numPr>
    </w:pPr>
  </w:style>
  <w:style w:type="paragraph" w:customStyle="1" w:styleId="Briefingparasubsubheading">
    <w:name w:val="Briefing para subsubheading"/>
    <w:basedOn w:val="Normal"/>
    <w:next w:val="Numberedpara3level1"/>
    <w:qFormat/>
    <w:rsid w:val="00C323CA"/>
    <w:pPr>
      <w:keepNext/>
      <w:spacing w:before="240" w:after="120"/>
    </w:pPr>
    <w:rPr>
      <w:i/>
    </w:rPr>
  </w:style>
  <w:style w:type="paragraph" w:customStyle="1" w:styleId="Ministerialdatabase">
    <w:name w:val="Ministerial database"/>
    <w:basedOn w:val="Tablenormal0"/>
    <w:semiHidden/>
    <w:qFormat/>
    <w:rsid w:val="0077668B"/>
    <w:rPr>
      <w:sz w:val="20"/>
      <w:szCs w:val="20"/>
    </w:rPr>
  </w:style>
  <w:style w:type="paragraph" w:customStyle="1" w:styleId="YesNo">
    <w:name w:val="Yes No"/>
    <w:basedOn w:val="Normal"/>
    <w:qFormat/>
    <w:rsid w:val="00F17BD8"/>
    <w:pPr>
      <w:spacing w:after="120"/>
    </w:pPr>
    <w:rPr>
      <w:b/>
    </w:rPr>
  </w:style>
  <w:style w:type="paragraph" w:customStyle="1" w:styleId="Ministerssign-off">
    <w:name w:val="Minister's sign-off"/>
    <w:basedOn w:val="Spacer"/>
    <w:qFormat/>
    <w:rsid w:val="00DE6A39"/>
    <w:rPr>
      <w:b/>
    </w:rPr>
  </w:style>
  <w:style w:type="paragraph" w:customStyle="1" w:styleId="Briefingtitle">
    <w:name w:val="Briefing title"/>
    <w:basedOn w:val="Normal"/>
    <w:qFormat/>
    <w:rsid w:val="008A3975"/>
    <w:pPr>
      <w:spacing w:before="0" w:after="0"/>
      <w:contextualSpacing/>
    </w:pPr>
    <w:rPr>
      <w:b/>
      <w:sz w:val="28"/>
    </w:rPr>
  </w:style>
  <w:style w:type="table" w:customStyle="1" w:styleId="TableGrid10">
    <w:name w:val="Table Grid1"/>
    <w:basedOn w:val="TableNormal"/>
    <w:next w:val="TableGrid"/>
    <w:rsid w:val="004737E1"/>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737E1"/>
    <w:rPr>
      <w:rFonts w:eastAsiaTheme="minorHAnsi"/>
      <w:sz w:val="20"/>
      <w:szCs w:val="20"/>
      <w:lang w:eastAsia="en-US"/>
    </w:rPr>
  </w:style>
  <w:style w:type="table" w:customStyle="1" w:styleId="TableGrid11">
    <w:name w:val="Table Grid11"/>
    <w:basedOn w:val="TableNormal"/>
    <w:next w:val="TableGrid"/>
    <w:rsid w:val="005B3D3D"/>
    <w:pPr>
      <w:spacing w:before="0" w:after="0" w:line="28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01B9"/>
    <w:rPr>
      <w:sz w:val="20"/>
      <w:szCs w:val="20"/>
    </w:rPr>
  </w:style>
  <w:style w:type="character" w:customStyle="1" w:styleId="CommentTextChar">
    <w:name w:val="Comment Text Char"/>
    <w:basedOn w:val="DefaultParagraphFont"/>
    <w:link w:val="CommentText"/>
    <w:uiPriority w:val="99"/>
    <w:semiHidden/>
    <w:rsid w:val="005001B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001B9"/>
    <w:rPr>
      <w:b/>
      <w:bCs/>
    </w:rPr>
  </w:style>
  <w:style w:type="character" w:customStyle="1" w:styleId="CommentSubjectChar">
    <w:name w:val="Comment Subject Char"/>
    <w:basedOn w:val="CommentTextChar"/>
    <w:link w:val="CommentSubject"/>
    <w:uiPriority w:val="99"/>
    <w:semiHidden/>
    <w:rsid w:val="005001B9"/>
    <w:rPr>
      <w:rFonts w:eastAsiaTheme="minorHAnsi"/>
      <w:b/>
      <w:bCs/>
      <w:sz w:val="20"/>
      <w:szCs w:val="20"/>
      <w:lang w:eastAsia="en-US"/>
    </w:rPr>
  </w:style>
  <w:style w:type="paragraph" w:styleId="EndnoteText">
    <w:name w:val="endnote text"/>
    <w:basedOn w:val="Normal"/>
    <w:link w:val="EndnoteTextChar"/>
    <w:uiPriority w:val="99"/>
    <w:semiHidden/>
    <w:unhideWhenUsed/>
    <w:rsid w:val="00EF5B47"/>
    <w:pPr>
      <w:spacing w:before="0" w:after="0"/>
    </w:pPr>
    <w:rPr>
      <w:sz w:val="20"/>
      <w:szCs w:val="20"/>
    </w:rPr>
  </w:style>
  <w:style w:type="character" w:customStyle="1" w:styleId="EndnoteTextChar">
    <w:name w:val="Endnote Text Char"/>
    <w:basedOn w:val="DefaultParagraphFont"/>
    <w:link w:val="EndnoteText"/>
    <w:uiPriority w:val="99"/>
    <w:semiHidden/>
    <w:rsid w:val="00EF5B47"/>
    <w:rPr>
      <w:rFonts w:eastAsiaTheme="minorHAnsi"/>
      <w:sz w:val="20"/>
      <w:szCs w:val="20"/>
      <w:lang w:eastAsia="en-US"/>
    </w:rPr>
  </w:style>
  <w:style w:type="paragraph" w:styleId="Revision">
    <w:name w:val="Revision"/>
    <w:hidden/>
    <w:uiPriority w:val="99"/>
    <w:semiHidden/>
    <w:rsid w:val="00BF3DA0"/>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61463">
      <w:bodyDiv w:val="1"/>
      <w:marLeft w:val="0"/>
      <w:marRight w:val="0"/>
      <w:marTop w:val="0"/>
      <w:marBottom w:val="0"/>
      <w:divBdr>
        <w:top w:val="none" w:sz="0" w:space="0" w:color="auto"/>
        <w:left w:val="none" w:sz="0" w:space="0" w:color="auto"/>
        <w:bottom w:val="none" w:sz="0" w:space="0" w:color="auto"/>
        <w:right w:val="none" w:sz="0" w:space="0" w:color="auto"/>
      </w:divBdr>
    </w:div>
    <w:div w:id="556473056">
      <w:bodyDiv w:val="1"/>
      <w:marLeft w:val="0"/>
      <w:marRight w:val="0"/>
      <w:marTop w:val="0"/>
      <w:marBottom w:val="0"/>
      <w:divBdr>
        <w:top w:val="none" w:sz="0" w:space="0" w:color="auto"/>
        <w:left w:val="none" w:sz="0" w:space="0" w:color="auto"/>
        <w:bottom w:val="none" w:sz="0" w:space="0" w:color="auto"/>
        <w:right w:val="none" w:sz="0" w:space="0" w:color="auto"/>
      </w:divBdr>
    </w:div>
    <w:div w:id="1044981016">
      <w:bodyDiv w:val="1"/>
      <w:marLeft w:val="0"/>
      <w:marRight w:val="0"/>
      <w:marTop w:val="0"/>
      <w:marBottom w:val="0"/>
      <w:divBdr>
        <w:top w:val="none" w:sz="0" w:space="0" w:color="auto"/>
        <w:left w:val="none" w:sz="0" w:space="0" w:color="auto"/>
        <w:bottom w:val="none" w:sz="0" w:space="0" w:color="auto"/>
        <w:right w:val="none" w:sz="0" w:space="0" w:color="auto"/>
      </w:divBdr>
    </w:div>
    <w:div w:id="1213536719">
      <w:bodyDiv w:val="1"/>
      <w:marLeft w:val="0"/>
      <w:marRight w:val="0"/>
      <w:marTop w:val="0"/>
      <w:marBottom w:val="0"/>
      <w:divBdr>
        <w:top w:val="none" w:sz="0" w:space="0" w:color="auto"/>
        <w:left w:val="none" w:sz="0" w:space="0" w:color="auto"/>
        <w:bottom w:val="none" w:sz="0" w:space="0" w:color="auto"/>
        <w:right w:val="none" w:sz="0" w:space="0" w:color="auto"/>
      </w:divBdr>
    </w:div>
    <w:div w:id="1373732268">
      <w:bodyDiv w:val="1"/>
      <w:marLeft w:val="0"/>
      <w:marRight w:val="0"/>
      <w:marTop w:val="0"/>
      <w:marBottom w:val="0"/>
      <w:divBdr>
        <w:top w:val="none" w:sz="0" w:space="0" w:color="auto"/>
        <w:left w:val="none" w:sz="0" w:space="0" w:color="auto"/>
        <w:bottom w:val="none" w:sz="0" w:space="0" w:color="auto"/>
        <w:right w:val="none" w:sz="0" w:space="0" w:color="auto"/>
      </w:divBdr>
    </w:div>
    <w:div w:id="1499342836">
      <w:bodyDiv w:val="1"/>
      <w:marLeft w:val="0"/>
      <w:marRight w:val="0"/>
      <w:marTop w:val="0"/>
      <w:marBottom w:val="0"/>
      <w:divBdr>
        <w:top w:val="none" w:sz="0" w:space="0" w:color="auto"/>
        <w:left w:val="none" w:sz="0" w:space="0" w:color="auto"/>
        <w:bottom w:val="none" w:sz="0" w:space="0" w:color="auto"/>
        <w:right w:val="none" w:sz="0" w:space="0" w:color="auto"/>
      </w:divBdr>
    </w:div>
    <w:div w:id="1927109637">
      <w:bodyDiv w:val="1"/>
      <w:marLeft w:val="0"/>
      <w:marRight w:val="0"/>
      <w:marTop w:val="0"/>
      <w:marBottom w:val="0"/>
      <w:divBdr>
        <w:top w:val="none" w:sz="0" w:space="0" w:color="auto"/>
        <w:left w:val="none" w:sz="0" w:space="0" w:color="auto"/>
        <w:bottom w:val="none" w:sz="0" w:space="0" w:color="auto"/>
        <w:right w:val="none" w:sz="0" w:space="0" w:color="auto"/>
      </w:divBdr>
    </w:div>
    <w:div w:id="1929848684">
      <w:bodyDiv w:val="1"/>
      <w:marLeft w:val="0"/>
      <w:marRight w:val="0"/>
      <w:marTop w:val="0"/>
      <w:marBottom w:val="0"/>
      <w:divBdr>
        <w:top w:val="none" w:sz="0" w:space="0" w:color="auto"/>
        <w:left w:val="none" w:sz="0" w:space="0" w:color="auto"/>
        <w:bottom w:val="none" w:sz="0" w:space="0" w:color="auto"/>
        <w:right w:val="none" w:sz="0" w:space="0" w:color="auto"/>
      </w:divBdr>
    </w:div>
    <w:div w:id="20151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Other%20Templates\Ministerial%20Templates\Briefings\Internal%20Affairs%20briefing.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lgprddata1\policy\SAS%20data\CES\CES%20reports%202018-19\Overall%20satisfac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data1\policy\SAS%20data\CES\CES%20reports%202018-19\Overall%20satisfac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gprddata1\policy\SAS%20data\CES\CES%20reports%202018-19\Key%20service%20measur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lgprddata1\policy\SAS%20data\CES\CES%20reports%202018-19\ease%20by%20channel%20and%20product%20grou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lgprddata1\policy\SAS%20data\CES\CES%20reports%202018-19\ease%20by%20channel%20and%20product%20grou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lgprddata1\policy\SAS%20data\CES\CES%20reports%202018-19\Trust%20and%20confide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Satisfaction - Business Group</a:t>
            </a:r>
          </a:p>
        </c:rich>
      </c:tx>
      <c:overlay val="0"/>
    </c:title>
    <c:autoTitleDeleted val="0"/>
    <c:plotArea>
      <c:layout/>
      <c:barChart>
        <c:barDir val="col"/>
        <c:grouping val="clustered"/>
        <c:varyColors val="0"/>
        <c:ser>
          <c:idx val="0"/>
          <c:order val="0"/>
          <c:tx>
            <c:strRef>
              <c:f>Sheet1!$B$1</c:f>
              <c:strCache>
                <c:ptCount val="1"/>
                <c:pt idx="0">
                  <c:v>2016/17</c:v>
                </c:pt>
              </c:strCache>
            </c:strRef>
          </c:tx>
          <c:spPr>
            <a:solidFill>
              <a:schemeClr val="tx2">
                <a:lumMod val="40000"/>
                <a:lumOff val="6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Sheet1!$B$2:$B$7</c:f>
              <c:numCache>
                <c:formatCode>General</c:formatCode>
                <c:ptCount val="6"/>
                <c:pt idx="0">
                  <c:v>89</c:v>
                </c:pt>
                <c:pt idx="1">
                  <c:v>90</c:v>
                </c:pt>
                <c:pt idx="2">
                  <c:v>90</c:v>
                </c:pt>
                <c:pt idx="3">
                  <c:v>83</c:v>
                </c:pt>
                <c:pt idx="4">
                  <c:v>81</c:v>
                </c:pt>
                <c:pt idx="5">
                  <c:v>87</c:v>
                </c:pt>
              </c:numCache>
            </c:numRef>
          </c:val>
          <c:extLst>
            <c:ext xmlns:c16="http://schemas.microsoft.com/office/drawing/2014/chart" uri="{C3380CC4-5D6E-409C-BE32-E72D297353CC}">
              <c16:uniqueId val="{00000000-BE27-4485-8C47-D37A301A82C4}"/>
            </c:ext>
          </c:extLst>
        </c:ser>
        <c:ser>
          <c:idx val="1"/>
          <c:order val="1"/>
          <c:tx>
            <c:strRef>
              <c:f>Sheet1!$C$1</c:f>
              <c:strCache>
                <c:ptCount val="1"/>
                <c:pt idx="0">
                  <c:v>2017/18</c:v>
                </c:pt>
              </c:strCache>
            </c:strRef>
          </c:tx>
          <c:spPr>
            <a:solidFill>
              <a:schemeClr val="tx2">
                <a:lumMod val="75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Sheet1!$C$2:$C$7</c:f>
              <c:numCache>
                <c:formatCode>General</c:formatCode>
                <c:ptCount val="6"/>
                <c:pt idx="0">
                  <c:v>89</c:v>
                </c:pt>
                <c:pt idx="1">
                  <c:v>88</c:v>
                </c:pt>
                <c:pt idx="2">
                  <c:v>92</c:v>
                </c:pt>
                <c:pt idx="3">
                  <c:v>79</c:v>
                </c:pt>
                <c:pt idx="4">
                  <c:v>84</c:v>
                </c:pt>
                <c:pt idx="5">
                  <c:v>83</c:v>
                </c:pt>
              </c:numCache>
            </c:numRef>
          </c:val>
          <c:extLst>
            <c:ext xmlns:c16="http://schemas.microsoft.com/office/drawing/2014/chart" uri="{C3380CC4-5D6E-409C-BE32-E72D297353CC}">
              <c16:uniqueId val="{00000001-BE27-4485-8C47-D37A301A82C4}"/>
            </c:ext>
          </c:extLst>
        </c:ser>
        <c:ser>
          <c:idx val="2"/>
          <c:order val="2"/>
          <c:tx>
            <c:strRef>
              <c:f>Sheet1!$D$1</c:f>
              <c:strCache>
                <c:ptCount val="1"/>
                <c:pt idx="0">
                  <c:v>2018/19</c:v>
                </c:pt>
              </c:strCache>
            </c:strRef>
          </c:tx>
          <c:spPr>
            <a:solidFill>
              <a:schemeClr val="tx2">
                <a:lumMod val="20000"/>
                <a:lumOff val="8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Sheet1!$D$2:$D$7</c:f>
              <c:numCache>
                <c:formatCode>General</c:formatCode>
                <c:ptCount val="6"/>
                <c:pt idx="0">
                  <c:v>90</c:v>
                </c:pt>
                <c:pt idx="1">
                  <c:v>90</c:v>
                </c:pt>
                <c:pt idx="2">
                  <c:v>91</c:v>
                </c:pt>
                <c:pt idx="3">
                  <c:v>83</c:v>
                </c:pt>
                <c:pt idx="4">
                  <c:v>84</c:v>
                </c:pt>
                <c:pt idx="5">
                  <c:v>89</c:v>
                </c:pt>
              </c:numCache>
            </c:numRef>
          </c:val>
          <c:extLst>
            <c:ext xmlns:c16="http://schemas.microsoft.com/office/drawing/2014/chart" uri="{C3380CC4-5D6E-409C-BE32-E72D297353CC}">
              <c16:uniqueId val="{00000002-BE27-4485-8C47-D37A301A82C4}"/>
            </c:ext>
          </c:extLst>
        </c:ser>
        <c:dLbls>
          <c:dLblPos val="outEnd"/>
          <c:showLegendKey val="0"/>
          <c:showVal val="1"/>
          <c:showCatName val="0"/>
          <c:showSerName val="0"/>
          <c:showPercent val="0"/>
          <c:showBubbleSize val="0"/>
        </c:dLbls>
        <c:gapWidth val="121"/>
        <c:overlap val="-19"/>
        <c:axId val="329872512"/>
        <c:axId val="329874048"/>
      </c:barChart>
      <c:catAx>
        <c:axId val="329872512"/>
        <c:scaling>
          <c:orientation val="minMax"/>
        </c:scaling>
        <c:delete val="0"/>
        <c:axPos val="b"/>
        <c:numFmt formatCode="General" sourceLinked="0"/>
        <c:majorTickMark val="out"/>
        <c:minorTickMark val="none"/>
        <c:tickLblPos val="nextTo"/>
        <c:crossAx val="329874048"/>
        <c:crosses val="autoZero"/>
        <c:auto val="1"/>
        <c:lblAlgn val="ctr"/>
        <c:lblOffset val="100"/>
        <c:noMultiLvlLbl val="0"/>
      </c:catAx>
      <c:valAx>
        <c:axId val="329874048"/>
        <c:scaling>
          <c:orientation val="minMax"/>
          <c:max val="100"/>
          <c:min val="0"/>
        </c:scaling>
        <c:delete val="0"/>
        <c:axPos val="l"/>
        <c:majorGridlines/>
        <c:numFmt formatCode="General" sourceLinked="1"/>
        <c:majorTickMark val="out"/>
        <c:minorTickMark val="none"/>
        <c:tickLblPos val="nextTo"/>
        <c:crossAx val="3298725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Satisfaction - Service Channel</a:t>
            </a:r>
          </a:p>
        </c:rich>
      </c:tx>
      <c:overlay val="0"/>
    </c:title>
    <c:autoTitleDeleted val="0"/>
    <c:plotArea>
      <c:layout/>
      <c:barChart>
        <c:barDir val="col"/>
        <c:grouping val="clustered"/>
        <c:varyColors val="0"/>
        <c:ser>
          <c:idx val="0"/>
          <c:order val="0"/>
          <c:tx>
            <c:strRef>
              <c:f>Sheet1!$B$40</c:f>
              <c:strCache>
                <c:ptCount val="1"/>
                <c:pt idx="0">
                  <c:v>2016/17</c:v>
                </c:pt>
              </c:strCache>
            </c:strRef>
          </c:tx>
          <c:spPr>
            <a:solidFill>
              <a:schemeClr val="tx2">
                <a:lumMod val="40000"/>
                <a:lumOff val="6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Sheet1!$B$41:$B$45</c:f>
              <c:numCache>
                <c:formatCode>General</c:formatCode>
                <c:ptCount val="5"/>
                <c:pt idx="0">
                  <c:v>89</c:v>
                </c:pt>
                <c:pt idx="1">
                  <c:v>88</c:v>
                </c:pt>
                <c:pt idx="2">
                  <c:v>88</c:v>
                </c:pt>
                <c:pt idx="3">
                  <c:v>91</c:v>
                </c:pt>
                <c:pt idx="4">
                  <c:v>90</c:v>
                </c:pt>
              </c:numCache>
            </c:numRef>
          </c:val>
          <c:extLst>
            <c:ext xmlns:c16="http://schemas.microsoft.com/office/drawing/2014/chart" uri="{C3380CC4-5D6E-409C-BE32-E72D297353CC}">
              <c16:uniqueId val="{00000000-AA01-4C73-A691-E43AE2B46B17}"/>
            </c:ext>
          </c:extLst>
        </c:ser>
        <c:ser>
          <c:idx val="1"/>
          <c:order val="1"/>
          <c:tx>
            <c:strRef>
              <c:f>Sheet1!$C$40</c:f>
              <c:strCache>
                <c:ptCount val="1"/>
                <c:pt idx="0">
                  <c:v>2017/18</c:v>
                </c:pt>
              </c:strCache>
            </c:strRef>
          </c:tx>
          <c:spPr>
            <a:solidFill>
              <a:schemeClr val="tx2">
                <a:lumMod val="75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Sheet1!$C$41:$C$45</c:f>
              <c:numCache>
                <c:formatCode>General</c:formatCode>
                <c:ptCount val="5"/>
                <c:pt idx="0">
                  <c:v>89</c:v>
                </c:pt>
                <c:pt idx="1">
                  <c:v>87</c:v>
                </c:pt>
                <c:pt idx="2">
                  <c:v>89</c:v>
                </c:pt>
                <c:pt idx="3">
                  <c:v>91</c:v>
                </c:pt>
                <c:pt idx="4">
                  <c:v>88</c:v>
                </c:pt>
              </c:numCache>
            </c:numRef>
          </c:val>
          <c:extLst>
            <c:ext xmlns:c16="http://schemas.microsoft.com/office/drawing/2014/chart" uri="{C3380CC4-5D6E-409C-BE32-E72D297353CC}">
              <c16:uniqueId val="{00000001-AA01-4C73-A691-E43AE2B46B17}"/>
            </c:ext>
          </c:extLst>
        </c:ser>
        <c:ser>
          <c:idx val="2"/>
          <c:order val="2"/>
          <c:tx>
            <c:strRef>
              <c:f>Sheet1!$D$40</c:f>
              <c:strCache>
                <c:ptCount val="1"/>
                <c:pt idx="0">
                  <c:v>2018/19</c:v>
                </c:pt>
              </c:strCache>
            </c:strRef>
          </c:tx>
          <c:spPr>
            <a:solidFill>
              <a:schemeClr val="tx2">
                <a:lumMod val="20000"/>
                <a:lumOff val="8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Sheet1!$A$41:$A$45</c:f>
              <c:strCache>
                <c:ptCount val="5"/>
                <c:pt idx="0">
                  <c:v>SDO Total</c:v>
                </c:pt>
                <c:pt idx="1">
                  <c:v>Counter / face-to-face</c:v>
                </c:pt>
                <c:pt idx="2">
                  <c:v>Online</c:v>
                </c:pt>
                <c:pt idx="3">
                  <c:v>By post</c:v>
                </c:pt>
                <c:pt idx="4">
                  <c:v>Telephone</c:v>
                </c:pt>
              </c:strCache>
            </c:strRef>
          </c:cat>
          <c:val>
            <c:numRef>
              <c:f>Sheet1!$D$41:$D$45</c:f>
              <c:numCache>
                <c:formatCode>General</c:formatCode>
                <c:ptCount val="5"/>
                <c:pt idx="0">
                  <c:v>90</c:v>
                </c:pt>
                <c:pt idx="1">
                  <c:v>83</c:v>
                </c:pt>
                <c:pt idx="2">
                  <c:v>91</c:v>
                </c:pt>
                <c:pt idx="3">
                  <c:v>93</c:v>
                </c:pt>
                <c:pt idx="4">
                  <c:v>86</c:v>
                </c:pt>
              </c:numCache>
            </c:numRef>
          </c:val>
          <c:extLst>
            <c:ext xmlns:c16="http://schemas.microsoft.com/office/drawing/2014/chart" uri="{C3380CC4-5D6E-409C-BE32-E72D297353CC}">
              <c16:uniqueId val="{00000002-AA01-4C73-A691-E43AE2B46B17}"/>
            </c:ext>
          </c:extLst>
        </c:ser>
        <c:dLbls>
          <c:dLblPos val="outEnd"/>
          <c:showLegendKey val="0"/>
          <c:showVal val="1"/>
          <c:showCatName val="0"/>
          <c:showSerName val="0"/>
          <c:showPercent val="0"/>
          <c:showBubbleSize val="0"/>
        </c:dLbls>
        <c:gapWidth val="121"/>
        <c:overlap val="-19"/>
        <c:axId val="329897856"/>
        <c:axId val="329899392"/>
      </c:barChart>
      <c:catAx>
        <c:axId val="329897856"/>
        <c:scaling>
          <c:orientation val="minMax"/>
        </c:scaling>
        <c:delete val="0"/>
        <c:axPos val="b"/>
        <c:numFmt formatCode="General" sourceLinked="0"/>
        <c:majorTickMark val="out"/>
        <c:minorTickMark val="none"/>
        <c:tickLblPos val="nextTo"/>
        <c:crossAx val="329899392"/>
        <c:crosses val="autoZero"/>
        <c:auto val="1"/>
        <c:lblAlgn val="ctr"/>
        <c:lblOffset val="100"/>
        <c:noMultiLvlLbl val="0"/>
      </c:catAx>
      <c:valAx>
        <c:axId val="329899392"/>
        <c:scaling>
          <c:orientation val="minMax"/>
          <c:max val="100"/>
          <c:min val="0"/>
        </c:scaling>
        <c:delete val="0"/>
        <c:axPos val="l"/>
        <c:majorGridlines/>
        <c:numFmt formatCode="General" sourceLinked="1"/>
        <c:majorTickMark val="out"/>
        <c:minorTickMark val="none"/>
        <c:tickLblPos val="nextTo"/>
        <c:crossAx val="32989785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Key Service Measures</a:t>
            </a:r>
          </a:p>
        </c:rich>
      </c:tx>
      <c:overlay val="0"/>
    </c:title>
    <c:autoTitleDeleted val="0"/>
    <c:plotArea>
      <c:layout/>
      <c:barChart>
        <c:barDir val="col"/>
        <c:grouping val="clustered"/>
        <c:varyColors val="0"/>
        <c:ser>
          <c:idx val="0"/>
          <c:order val="0"/>
          <c:tx>
            <c:strRef>
              <c:f>Sheet1!$B$1</c:f>
              <c:strCache>
                <c:ptCount val="1"/>
                <c:pt idx="0">
                  <c:v>2016/17</c:v>
                </c:pt>
              </c:strCache>
            </c:strRef>
          </c:tx>
          <c:spPr>
            <a:solidFill>
              <a:schemeClr val="tx2">
                <a:lumMod val="40000"/>
                <a:lumOff val="6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Sheet1!$B$2:$B$5</c:f>
              <c:numCache>
                <c:formatCode>General</c:formatCode>
                <c:ptCount val="4"/>
                <c:pt idx="0">
                  <c:v>85</c:v>
                </c:pt>
                <c:pt idx="1">
                  <c:v>94</c:v>
                </c:pt>
                <c:pt idx="2">
                  <c:v>93</c:v>
                </c:pt>
                <c:pt idx="3">
                  <c:v>92</c:v>
                </c:pt>
              </c:numCache>
            </c:numRef>
          </c:val>
          <c:extLst>
            <c:ext xmlns:c16="http://schemas.microsoft.com/office/drawing/2014/chart" uri="{C3380CC4-5D6E-409C-BE32-E72D297353CC}">
              <c16:uniqueId val="{00000000-31ED-48CC-AA8D-07BA8FF6B94D}"/>
            </c:ext>
          </c:extLst>
        </c:ser>
        <c:ser>
          <c:idx val="1"/>
          <c:order val="1"/>
          <c:tx>
            <c:strRef>
              <c:f>Sheet1!$C$1</c:f>
              <c:strCache>
                <c:ptCount val="1"/>
                <c:pt idx="0">
                  <c:v>2017/18</c:v>
                </c:pt>
              </c:strCache>
            </c:strRef>
          </c:tx>
          <c:spPr>
            <a:solidFill>
              <a:schemeClr val="tx2">
                <a:lumMod val="75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Sheet1!$C$2:$C$5</c:f>
              <c:numCache>
                <c:formatCode>General</c:formatCode>
                <c:ptCount val="4"/>
                <c:pt idx="0">
                  <c:v>84</c:v>
                </c:pt>
                <c:pt idx="1">
                  <c:v>92</c:v>
                </c:pt>
                <c:pt idx="2">
                  <c:v>89</c:v>
                </c:pt>
                <c:pt idx="3">
                  <c:v>91</c:v>
                </c:pt>
              </c:numCache>
            </c:numRef>
          </c:val>
          <c:extLst>
            <c:ext xmlns:c16="http://schemas.microsoft.com/office/drawing/2014/chart" uri="{C3380CC4-5D6E-409C-BE32-E72D297353CC}">
              <c16:uniqueId val="{00000001-31ED-48CC-AA8D-07BA8FF6B94D}"/>
            </c:ext>
          </c:extLst>
        </c:ser>
        <c:ser>
          <c:idx val="2"/>
          <c:order val="2"/>
          <c:tx>
            <c:strRef>
              <c:f>Sheet1!$D$1</c:f>
              <c:strCache>
                <c:ptCount val="1"/>
                <c:pt idx="0">
                  <c:v>2018/19</c:v>
                </c:pt>
              </c:strCache>
            </c:strRef>
          </c:tx>
          <c:spPr>
            <a:solidFill>
              <a:schemeClr val="tx2">
                <a:lumMod val="20000"/>
                <a:lumOff val="8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Individual circumstances taken into account</c:v>
                </c:pt>
                <c:pt idx="1">
                  <c:v>I was treated fairly</c:v>
                </c:pt>
                <c:pt idx="2">
                  <c:v>Staff were competent</c:v>
                </c:pt>
                <c:pt idx="3">
                  <c:v>Staff did what they said they would do</c:v>
                </c:pt>
              </c:strCache>
            </c:strRef>
          </c:cat>
          <c:val>
            <c:numRef>
              <c:f>Sheet1!$D$2:$D$5</c:f>
              <c:numCache>
                <c:formatCode>General</c:formatCode>
                <c:ptCount val="4"/>
                <c:pt idx="0">
                  <c:v>88</c:v>
                </c:pt>
                <c:pt idx="1">
                  <c:v>96</c:v>
                </c:pt>
                <c:pt idx="2">
                  <c:v>93</c:v>
                </c:pt>
                <c:pt idx="3">
                  <c:v>93</c:v>
                </c:pt>
              </c:numCache>
            </c:numRef>
          </c:val>
          <c:extLst>
            <c:ext xmlns:c16="http://schemas.microsoft.com/office/drawing/2014/chart" uri="{C3380CC4-5D6E-409C-BE32-E72D297353CC}">
              <c16:uniqueId val="{00000002-31ED-48CC-AA8D-07BA8FF6B94D}"/>
            </c:ext>
          </c:extLst>
        </c:ser>
        <c:dLbls>
          <c:dLblPos val="outEnd"/>
          <c:showLegendKey val="0"/>
          <c:showVal val="1"/>
          <c:showCatName val="0"/>
          <c:showSerName val="0"/>
          <c:showPercent val="0"/>
          <c:showBubbleSize val="0"/>
        </c:dLbls>
        <c:gapWidth val="121"/>
        <c:overlap val="-21"/>
        <c:axId val="144272000"/>
        <c:axId val="144277888"/>
      </c:barChart>
      <c:catAx>
        <c:axId val="144272000"/>
        <c:scaling>
          <c:orientation val="minMax"/>
        </c:scaling>
        <c:delete val="0"/>
        <c:axPos val="b"/>
        <c:numFmt formatCode="General" sourceLinked="0"/>
        <c:majorTickMark val="out"/>
        <c:minorTickMark val="none"/>
        <c:tickLblPos val="nextTo"/>
        <c:crossAx val="144277888"/>
        <c:crosses val="autoZero"/>
        <c:auto val="1"/>
        <c:lblAlgn val="ctr"/>
        <c:lblOffset val="100"/>
        <c:noMultiLvlLbl val="0"/>
      </c:catAx>
      <c:valAx>
        <c:axId val="144277888"/>
        <c:scaling>
          <c:orientation val="minMax"/>
          <c:max val="100"/>
          <c:min val="0"/>
        </c:scaling>
        <c:delete val="0"/>
        <c:axPos val="l"/>
        <c:majorGridlines/>
        <c:title>
          <c:tx>
            <c:rich>
              <a:bodyPr rot="-5400000" vert="horz"/>
              <a:lstStyle/>
              <a:p>
                <a:pPr>
                  <a:defRPr/>
                </a:pPr>
                <a:r>
                  <a:rPr lang="en-US"/>
                  <a:t>Percentage of respondents</a:t>
                </a:r>
              </a:p>
            </c:rich>
          </c:tx>
          <c:overlay val="0"/>
        </c:title>
        <c:numFmt formatCode="General" sourceLinked="1"/>
        <c:majorTickMark val="out"/>
        <c:minorTickMark val="none"/>
        <c:tickLblPos val="nextTo"/>
        <c:crossAx val="14427200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Ease of Doing Business</a:t>
            </a:r>
            <a:r>
              <a:rPr lang="en-NZ" baseline="0"/>
              <a:t> - Business Group</a:t>
            </a:r>
            <a:endParaRPr lang="en-NZ"/>
          </a:p>
        </c:rich>
      </c:tx>
      <c:overlay val="0"/>
    </c:title>
    <c:autoTitleDeleted val="0"/>
    <c:plotArea>
      <c:layout/>
      <c:barChart>
        <c:barDir val="col"/>
        <c:grouping val="clustered"/>
        <c:varyColors val="0"/>
        <c:ser>
          <c:idx val="0"/>
          <c:order val="0"/>
          <c:tx>
            <c:strRef>
              <c:f>Sheet1!$K$2</c:f>
              <c:strCache>
                <c:ptCount val="1"/>
                <c:pt idx="0">
                  <c:v>2016/17</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Sheet1!$J$3:$J$8</c:f>
              <c:strCache>
                <c:ptCount val="6"/>
                <c:pt idx="0">
                  <c:v>SDO Total</c:v>
                </c:pt>
                <c:pt idx="1">
                  <c:v>Citizenship</c:v>
                </c:pt>
                <c:pt idx="2">
                  <c:v>Passports</c:v>
                </c:pt>
                <c:pt idx="3">
                  <c:v>Charities</c:v>
                </c:pt>
                <c:pt idx="4">
                  <c:v>Com Ops</c:v>
                </c:pt>
                <c:pt idx="5">
                  <c:v>BDM</c:v>
                </c:pt>
              </c:strCache>
            </c:strRef>
          </c:cat>
          <c:val>
            <c:numRef>
              <c:f>Sheet1!$K$3:$K$8</c:f>
              <c:numCache>
                <c:formatCode>General</c:formatCode>
                <c:ptCount val="6"/>
                <c:pt idx="0">
                  <c:v>86</c:v>
                </c:pt>
                <c:pt idx="1">
                  <c:v>86</c:v>
                </c:pt>
                <c:pt idx="2">
                  <c:v>87</c:v>
                </c:pt>
                <c:pt idx="3">
                  <c:v>66</c:v>
                </c:pt>
                <c:pt idx="4">
                  <c:v>70</c:v>
                </c:pt>
                <c:pt idx="5">
                  <c:v>85</c:v>
                </c:pt>
              </c:numCache>
            </c:numRef>
          </c:val>
          <c:extLst>
            <c:ext xmlns:c16="http://schemas.microsoft.com/office/drawing/2014/chart" uri="{C3380CC4-5D6E-409C-BE32-E72D297353CC}">
              <c16:uniqueId val="{00000000-EF42-4C51-8563-9BAB25208166}"/>
            </c:ext>
          </c:extLst>
        </c:ser>
        <c:ser>
          <c:idx val="1"/>
          <c:order val="1"/>
          <c:tx>
            <c:strRef>
              <c:f>Sheet1!$L$2</c:f>
              <c:strCache>
                <c:ptCount val="1"/>
                <c:pt idx="0">
                  <c:v>2017/18</c:v>
                </c:pt>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Sheet1!$J$3:$J$8</c:f>
              <c:strCache>
                <c:ptCount val="6"/>
                <c:pt idx="0">
                  <c:v>SDO Total</c:v>
                </c:pt>
                <c:pt idx="1">
                  <c:v>Citizenship</c:v>
                </c:pt>
                <c:pt idx="2">
                  <c:v>Passports</c:v>
                </c:pt>
                <c:pt idx="3">
                  <c:v>Charities</c:v>
                </c:pt>
                <c:pt idx="4">
                  <c:v>Com Ops</c:v>
                </c:pt>
                <c:pt idx="5">
                  <c:v>BDM</c:v>
                </c:pt>
              </c:strCache>
            </c:strRef>
          </c:cat>
          <c:val>
            <c:numRef>
              <c:f>Sheet1!$L$3:$L$8</c:f>
              <c:numCache>
                <c:formatCode>General</c:formatCode>
                <c:ptCount val="6"/>
                <c:pt idx="0">
                  <c:v>86</c:v>
                </c:pt>
                <c:pt idx="1">
                  <c:v>90</c:v>
                </c:pt>
                <c:pt idx="2">
                  <c:v>88</c:v>
                </c:pt>
                <c:pt idx="3">
                  <c:v>67</c:v>
                </c:pt>
                <c:pt idx="4">
                  <c:v>79</c:v>
                </c:pt>
                <c:pt idx="5">
                  <c:v>84</c:v>
                </c:pt>
              </c:numCache>
            </c:numRef>
          </c:val>
          <c:extLst>
            <c:ext xmlns:c16="http://schemas.microsoft.com/office/drawing/2014/chart" uri="{C3380CC4-5D6E-409C-BE32-E72D297353CC}">
              <c16:uniqueId val="{00000001-EF42-4C51-8563-9BAB25208166}"/>
            </c:ext>
          </c:extLst>
        </c:ser>
        <c:ser>
          <c:idx val="2"/>
          <c:order val="2"/>
          <c:tx>
            <c:strRef>
              <c:f>Sheet1!$M$2</c:f>
              <c:strCache>
                <c:ptCount val="1"/>
                <c:pt idx="0">
                  <c:v>2018/19</c:v>
                </c:pt>
              </c:strCache>
            </c:strRef>
          </c:tx>
          <c:spPr>
            <a:solidFill>
              <a:schemeClr val="tx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Sheet1!$J$3:$J$8</c:f>
              <c:strCache>
                <c:ptCount val="6"/>
                <c:pt idx="0">
                  <c:v>SDO Total</c:v>
                </c:pt>
                <c:pt idx="1">
                  <c:v>Citizenship</c:v>
                </c:pt>
                <c:pt idx="2">
                  <c:v>Passports</c:v>
                </c:pt>
                <c:pt idx="3">
                  <c:v>Charities</c:v>
                </c:pt>
                <c:pt idx="4">
                  <c:v>Com Ops</c:v>
                </c:pt>
                <c:pt idx="5">
                  <c:v>BDM</c:v>
                </c:pt>
              </c:strCache>
            </c:strRef>
          </c:cat>
          <c:val>
            <c:numRef>
              <c:f>Sheet1!$M$3:$M$8</c:f>
              <c:numCache>
                <c:formatCode>General</c:formatCode>
                <c:ptCount val="6"/>
                <c:pt idx="0">
                  <c:v>86</c:v>
                </c:pt>
                <c:pt idx="1">
                  <c:v>87</c:v>
                </c:pt>
                <c:pt idx="2">
                  <c:v>86</c:v>
                </c:pt>
                <c:pt idx="3">
                  <c:v>74</c:v>
                </c:pt>
                <c:pt idx="4">
                  <c:v>73</c:v>
                </c:pt>
                <c:pt idx="5">
                  <c:v>87</c:v>
                </c:pt>
              </c:numCache>
            </c:numRef>
          </c:val>
          <c:extLst>
            <c:ext xmlns:c16="http://schemas.microsoft.com/office/drawing/2014/chart" uri="{C3380CC4-5D6E-409C-BE32-E72D297353CC}">
              <c16:uniqueId val="{00000002-EF42-4C51-8563-9BAB25208166}"/>
            </c:ext>
          </c:extLst>
        </c:ser>
        <c:dLbls>
          <c:dLblPos val="outEnd"/>
          <c:showLegendKey val="0"/>
          <c:showVal val="1"/>
          <c:showCatName val="0"/>
          <c:showSerName val="0"/>
          <c:showPercent val="0"/>
          <c:showBubbleSize val="0"/>
        </c:dLbls>
        <c:gapWidth val="122"/>
        <c:overlap val="-20"/>
        <c:axId val="144449536"/>
        <c:axId val="144451072"/>
      </c:barChart>
      <c:catAx>
        <c:axId val="144449536"/>
        <c:scaling>
          <c:orientation val="minMax"/>
        </c:scaling>
        <c:delete val="0"/>
        <c:axPos val="b"/>
        <c:numFmt formatCode="General" sourceLinked="0"/>
        <c:majorTickMark val="out"/>
        <c:minorTickMark val="none"/>
        <c:tickLblPos val="nextTo"/>
        <c:crossAx val="144451072"/>
        <c:crosses val="autoZero"/>
        <c:auto val="1"/>
        <c:lblAlgn val="ctr"/>
        <c:lblOffset val="100"/>
        <c:noMultiLvlLbl val="0"/>
      </c:catAx>
      <c:valAx>
        <c:axId val="144451072"/>
        <c:scaling>
          <c:orientation val="minMax"/>
        </c:scaling>
        <c:delete val="0"/>
        <c:axPos val="l"/>
        <c:majorGridlines/>
        <c:title>
          <c:tx>
            <c:rich>
              <a:bodyPr rot="-5400000" vert="horz"/>
              <a:lstStyle/>
              <a:p>
                <a:pPr>
                  <a:defRPr/>
                </a:pPr>
                <a:r>
                  <a:rPr lang="en-US"/>
                  <a:t>Percentage of respondents</a:t>
                </a:r>
              </a:p>
            </c:rich>
          </c:tx>
          <c:overlay val="0"/>
        </c:title>
        <c:numFmt formatCode="General" sourceLinked="1"/>
        <c:majorTickMark val="out"/>
        <c:minorTickMark val="none"/>
        <c:tickLblPos val="nextTo"/>
        <c:crossAx val="1444495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sz="1800" b="1" i="0" baseline="0">
                <a:effectLst/>
              </a:rPr>
              <a:t>Ease of Doing Business - Service Channel</a:t>
            </a:r>
            <a:endParaRPr lang="en-NZ">
              <a:effectLst/>
            </a:endParaRPr>
          </a:p>
        </c:rich>
      </c:tx>
      <c:overlay val="0"/>
    </c:title>
    <c:autoTitleDeleted val="0"/>
    <c:plotArea>
      <c:layout/>
      <c:barChart>
        <c:barDir val="col"/>
        <c:grouping val="clustered"/>
        <c:varyColors val="0"/>
        <c:ser>
          <c:idx val="0"/>
          <c:order val="0"/>
          <c:tx>
            <c:strRef>
              <c:f>Sheet1!$K$17</c:f>
              <c:strCache>
                <c:ptCount val="1"/>
                <c:pt idx="0">
                  <c:v>2016/17</c:v>
                </c:pt>
              </c:strCache>
            </c:strRef>
          </c:tx>
          <c:spPr>
            <a:solidFill>
              <a:schemeClr val="tx2">
                <a:lumMod val="40000"/>
                <a:lumOff val="6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Sheet1!$J$18:$J$22</c:f>
              <c:strCache>
                <c:ptCount val="5"/>
                <c:pt idx="0">
                  <c:v>SDO Total</c:v>
                </c:pt>
                <c:pt idx="1">
                  <c:v>Counter</c:v>
                </c:pt>
                <c:pt idx="2">
                  <c:v>Online</c:v>
                </c:pt>
                <c:pt idx="3">
                  <c:v>Post </c:v>
                </c:pt>
                <c:pt idx="4">
                  <c:v>Phone</c:v>
                </c:pt>
              </c:strCache>
            </c:strRef>
          </c:cat>
          <c:val>
            <c:numRef>
              <c:f>Sheet1!$K$18:$K$22</c:f>
              <c:numCache>
                <c:formatCode>General</c:formatCode>
                <c:ptCount val="5"/>
                <c:pt idx="0">
                  <c:v>86</c:v>
                </c:pt>
                <c:pt idx="1">
                  <c:v>85</c:v>
                </c:pt>
                <c:pt idx="2">
                  <c:v>86</c:v>
                </c:pt>
                <c:pt idx="3">
                  <c:v>85</c:v>
                </c:pt>
                <c:pt idx="4">
                  <c:v>88</c:v>
                </c:pt>
              </c:numCache>
            </c:numRef>
          </c:val>
          <c:extLst>
            <c:ext xmlns:c16="http://schemas.microsoft.com/office/drawing/2014/chart" uri="{C3380CC4-5D6E-409C-BE32-E72D297353CC}">
              <c16:uniqueId val="{00000000-A22B-452E-876C-F4776C9B8921}"/>
            </c:ext>
          </c:extLst>
        </c:ser>
        <c:ser>
          <c:idx val="1"/>
          <c:order val="1"/>
          <c:tx>
            <c:strRef>
              <c:f>Sheet1!$L$17</c:f>
              <c:strCache>
                <c:ptCount val="1"/>
                <c:pt idx="0">
                  <c:v>2017/18</c:v>
                </c:pt>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Sheet1!$J$18:$J$22</c:f>
              <c:strCache>
                <c:ptCount val="5"/>
                <c:pt idx="0">
                  <c:v>SDO Total</c:v>
                </c:pt>
                <c:pt idx="1">
                  <c:v>Counter</c:v>
                </c:pt>
                <c:pt idx="2">
                  <c:v>Online</c:v>
                </c:pt>
                <c:pt idx="3">
                  <c:v>Post </c:v>
                </c:pt>
                <c:pt idx="4">
                  <c:v>Phone</c:v>
                </c:pt>
              </c:strCache>
            </c:strRef>
          </c:cat>
          <c:val>
            <c:numRef>
              <c:f>Sheet1!$L$18:$L$22</c:f>
              <c:numCache>
                <c:formatCode>General</c:formatCode>
                <c:ptCount val="5"/>
                <c:pt idx="0">
                  <c:v>86</c:v>
                </c:pt>
                <c:pt idx="1">
                  <c:v>84</c:v>
                </c:pt>
                <c:pt idx="2">
                  <c:v>87</c:v>
                </c:pt>
                <c:pt idx="3">
                  <c:v>89</c:v>
                </c:pt>
                <c:pt idx="4">
                  <c:v>83</c:v>
                </c:pt>
              </c:numCache>
            </c:numRef>
          </c:val>
          <c:extLst>
            <c:ext xmlns:c16="http://schemas.microsoft.com/office/drawing/2014/chart" uri="{C3380CC4-5D6E-409C-BE32-E72D297353CC}">
              <c16:uniqueId val="{00000001-A22B-452E-876C-F4776C9B8921}"/>
            </c:ext>
          </c:extLst>
        </c:ser>
        <c:ser>
          <c:idx val="2"/>
          <c:order val="2"/>
          <c:tx>
            <c:strRef>
              <c:f>Sheet1!$M$17</c:f>
              <c:strCache>
                <c:ptCount val="1"/>
                <c:pt idx="0">
                  <c:v>2018/19</c:v>
                </c:pt>
              </c:strCache>
            </c:strRef>
          </c:tx>
          <c:spPr>
            <a:solidFill>
              <a:schemeClr val="tx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Sheet1!$J$18:$J$22</c:f>
              <c:strCache>
                <c:ptCount val="5"/>
                <c:pt idx="0">
                  <c:v>SDO Total</c:v>
                </c:pt>
                <c:pt idx="1">
                  <c:v>Counter</c:v>
                </c:pt>
                <c:pt idx="2">
                  <c:v>Online</c:v>
                </c:pt>
                <c:pt idx="3">
                  <c:v>Post </c:v>
                </c:pt>
                <c:pt idx="4">
                  <c:v>Phone</c:v>
                </c:pt>
              </c:strCache>
            </c:strRef>
          </c:cat>
          <c:val>
            <c:numRef>
              <c:f>Sheet1!$M$18:$M$22</c:f>
              <c:numCache>
                <c:formatCode>General</c:formatCode>
                <c:ptCount val="5"/>
                <c:pt idx="0">
                  <c:v>86</c:v>
                </c:pt>
                <c:pt idx="1">
                  <c:v>81</c:v>
                </c:pt>
                <c:pt idx="2">
                  <c:v>87</c:v>
                </c:pt>
                <c:pt idx="3">
                  <c:v>85</c:v>
                </c:pt>
                <c:pt idx="4">
                  <c:v>88</c:v>
                </c:pt>
              </c:numCache>
            </c:numRef>
          </c:val>
          <c:extLst>
            <c:ext xmlns:c16="http://schemas.microsoft.com/office/drawing/2014/chart" uri="{C3380CC4-5D6E-409C-BE32-E72D297353CC}">
              <c16:uniqueId val="{00000002-A22B-452E-876C-F4776C9B8921}"/>
            </c:ext>
          </c:extLst>
        </c:ser>
        <c:dLbls>
          <c:dLblPos val="outEnd"/>
          <c:showLegendKey val="0"/>
          <c:showVal val="1"/>
          <c:showCatName val="0"/>
          <c:showSerName val="0"/>
          <c:showPercent val="0"/>
          <c:showBubbleSize val="0"/>
        </c:dLbls>
        <c:gapWidth val="122"/>
        <c:overlap val="-20"/>
        <c:axId val="144483840"/>
        <c:axId val="144485376"/>
      </c:barChart>
      <c:catAx>
        <c:axId val="144483840"/>
        <c:scaling>
          <c:orientation val="minMax"/>
        </c:scaling>
        <c:delete val="0"/>
        <c:axPos val="b"/>
        <c:numFmt formatCode="General" sourceLinked="0"/>
        <c:majorTickMark val="out"/>
        <c:minorTickMark val="none"/>
        <c:tickLblPos val="nextTo"/>
        <c:crossAx val="144485376"/>
        <c:crosses val="autoZero"/>
        <c:auto val="1"/>
        <c:lblAlgn val="ctr"/>
        <c:lblOffset val="100"/>
        <c:noMultiLvlLbl val="0"/>
      </c:catAx>
      <c:valAx>
        <c:axId val="144485376"/>
        <c:scaling>
          <c:orientation val="minMax"/>
          <c:max val="100"/>
          <c:min val="0"/>
        </c:scaling>
        <c:delete val="0"/>
        <c:axPos val="l"/>
        <c:majorGridlines/>
        <c:title>
          <c:tx>
            <c:rich>
              <a:bodyPr rot="-5400000" vert="horz"/>
              <a:lstStyle/>
              <a:p>
                <a:pPr>
                  <a:defRPr/>
                </a:pPr>
                <a:r>
                  <a:rPr lang="en-US"/>
                  <a:t>Percentage of respondents</a:t>
                </a:r>
              </a:p>
            </c:rich>
          </c:tx>
          <c:overlay val="0"/>
        </c:title>
        <c:numFmt formatCode="General" sourceLinked="1"/>
        <c:majorTickMark val="out"/>
        <c:minorTickMark val="none"/>
        <c:tickLblPos val="nextTo"/>
        <c:crossAx val="144483840"/>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Trust and Confidence</a:t>
            </a:r>
            <a:r>
              <a:rPr lang="en-US" baseline="0"/>
              <a:t> - Business Group</a:t>
            </a:r>
          </a:p>
        </c:rich>
      </c:tx>
      <c:overlay val="0"/>
    </c:title>
    <c:autoTitleDeleted val="0"/>
    <c:plotArea>
      <c:layout/>
      <c:barChart>
        <c:barDir val="col"/>
        <c:grouping val="clustered"/>
        <c:varyColors val="0"/>
        <c:ser>
          <c:idx val="0"/>
          <c:order val="0"/>
          <c:tx>
            <c:strRef>
              <c:f>Sheet1!$B$1</c:f>
              <c:strCache>
                <c:ptCount val="1"/>
                <c:pt idx="0">
                  <c:v>2016/17</c:v>
                </c:pt>
              </c:strCache>
            </c:strRef>
          </c:tx>
          <c:spPr>
            <a:solidFill>
              <a:schemeClr val="tx2">
                <a:lumMod val="40000"/>
                <a:lumOff val="6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Sheet1!$B$2:$B$7</c:f>
              <c:numCache>
                <c:formatCode>General</c:formatCode>
                <c:ptCount val="6"/>
                <c:pt idx="0">
                  <c:v>91</c:v>
                </c:pt>
                <c:pt idx="1">
                  <c:v>94</c:v>
                </c:pt>
                <c:pt idx="2">
                  <c:v>93</c:v>
                </c:pt>
                <c:pt idx="3">
                  <c:v>82</c:v>
                </c:pt>
                <c:pt idx="4">
                  <c:v>84</c:v>
                </c:pt>
                <c:pt idx="5">
                  <c:v>88</c:v>
                </c:pt>
              </c:numCache>
            </c:numRef>
          </c:val>
          <c:extLst>
            <c:ext xmlns:c16="http://schemas.microsoft.com/office/drawing/2014/chart" uri="{C3380CC4-5D6E-409C-BE32-E72D297353CC}">
              <c16:uniqueId val="{00000000-1148-445C-8CF4-0CFC612C2C20}"/>
            </c:ext>
          </c:extLst>
        </c:ser>
        <c:ser>
          <c:idx val="1"/>
          <c:order val="1"/>
          <c:tx>
            <c:strRef>
              <c:f>Sheet1!$C$1</c:f>
              <c:strCache>
                <c:ptCount val="1"/>
                <c:pt idx="0">
                  <c:v>2017/18</c:v>
                </c:pt>
              </c:strCache>
            </c:strRef>
          </c:tx>
          <c:spPr>
            <a:solidFill>
              <a:schemeClr val="tx2">
                <a:lumMod val="75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Sheet1!$C$2:$C$7</c:f>
              <c:numCache>
                <c:formatCode>General</c:formatCode>
                <c:ptCount val="6"/>
                <c:pt idx="0">
                  <c:v>91</c:v>
                </c:pt>
                <c:pt idx="1">
                  <c:v>94</c:v>
                </c:pt>
                <c:pt idx="2">
                  <c:v>92</c:v>
                </c:pt>
                <c:pt idx="3">
                  <c:v>81</c:v>
                </c:pt>
                <c:pt idx="4">
                  <c:v>90</c:v>
                </c:pt>
                <c:pt idx="5">
                  <c:v>89</c:v>
                </c:pt>
              </c:numCache>
            </c:numRef>
          </c:val>
          <c:extLst>
            <c:ext xmlns:c16="http://schemas.microsoft.com/office/drawing/2014/chart" uri="{C3380CC4-5D6E-409C-BE32-E72D297353CC}">
              <c16:uniqueId val="{00000001-1148-445C-8CF4-0CFC612C2C20}"/>
            </c:ext>
          </c:extLst>
        </c:ser>
        <c:ser>
          <c:idx val="2"/>
          <c:order val="2"/>
          <c:tx>
            <c:strRef>
              <c:f>Sheet1!$D$1</c:f>
              <c:strCache>
                <c:ptCount val="1"/>
                <c:pt idx="0">
                  <c:v>2018/19</c:v>
                </c:pt>
              </c:strCache>
            </c:strRef>
          </c:tx>
          <c:spPr>
            <a:solidFill>
              <a:schemeClr val="tx2">
                <a:lumMod val="20000"/>
                <a:lumOff val="80000"/>
              </a:schemeClr>
            </a:solidFill>
            <a:ln>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SDO Total</c:v>
                </c:pt>
                <c:pt idx="1">
                  <c:v>Citizenship Services</c:v>
                </c:pt>
                <c:pt idx="2">
                  <c:v>Passports Services</c:v>
                </c:pt>
                <c:pt idx="3">
                  <c:v>Charities Services</c:v>
                </c:pt>
                <c:pt idx="4">
                  <c:v>Community Operations Services</c:v>
                </c:pt>
                <c:pt idx="5">
                  <c:v>Births, Deaths and Marriages Services</c:v>
                </c:pt>
              </c:strCache>
            </c:strRef>
          </c:cat>
          <c:val>
            <c:numRef>
              <c:f>Sheet1!$D$2:$D$7</c:f>
              <c:numCache>
                <c:formatCode>General</c:formatCode>
                <c:ptCount val="6"/>
                <c:pt idx="0">
                  <c:v>92</c:v>
                </c:pt>
                <c:pt idx="1">
                  <c:v>94</c:v>
                </c:pt>
                <c:pt idx="2">
                  <c:v>93</c:v>
                </c:pt>
                <c:pt idx="3">
                  <c:v>82</c:v>
                </c:pt>
                <c:pt idx="4">
                  <c:v>84</c:v>
                </c:pt>
                <c:pt idx="5">
                  <c:v>89</c:v>
                </c:pt>
              </c:numCache>
            </c:numRef>
          </c:val>
          <c:extLst>
            <c:ext xmlns:c16="http://schemas.microsoft.com/office/drawing/2014/chart" uri="{C3380CC4-5D6E-409C-BE32-E72D297353CC}">
              <c16:uniqueId val="{00000002-1148-445C-8CF4-0CFC612C2C20}"/>
            </c:ext>
          </c:extLst>
        </c:ser>
        <c:dLbls>
          <c:showLegendKey val="0"/>
          <c:showVal val="0"/>
          <c:showCatName val="0"/>
          <c:showSerName val="0"/>
          <c:showPercent val="0"/>
          <c:showBubbleSize val="0"/>
        </c:dLbls>
        <c:gapWidth val="121"/>
        <c:overlap val="-20"/>
        <c:axId val="144541952"/>
        <c:axId val="144551936"/>
      </c:barChart>
      <c:catAx>
        <c:axId val="144541952"/>
        <c:scaling>
          <c:orientation val="minMax"/>
        </c:scaling>
        <c:delete val="0"/>
        <c:axPos val="b"/>
        <c:numFmt formatCode="General" sourceLinked="0"/>
        <c:majorTickMark val="out"/>
        <c:minorTickMark val="none"/>
        <c:tickLblPos val="nextTo"/>
        <c:crossAx val="144551936"/>
        <c:crosses val="autoZero"/>
        <c:auto val="1"/>
        <c:lblAlgn val="ctr"/>
        <c:lblOffset val="100"/>
        <c:noMultiLvlLbl val="0"/>
      </c:catAx>
      <c:valAx>
        <c:axId val="144551936"/>
        <c:scaling>
          <c:orientation val="minMax"/>
          <c:max val="100"/>
          <c:min val="0"/>
        </c:scaling>
        <c:delete val="0"/>
        <c:axPos val="l"/>
        <c:majorGridlines/>
        <c:title>
          <c:tx>
            <c:rich>
              <a:bodyPr rot="-5400000" vert="horz"/>
              <a:lstStyle/>
              <a:p>
                <a:pPr>
                  <a:defRPr/>
                </a:pPr>
                <a:r>
                  <a:rPr lang="en-US"/>
                  <a:t>Percentage of respondents</a:t>
                </a:r>
              </a:p>
            </c:rich>
          </c:tx>
          <c:overlay val="0"/>
        </c:title>
        <c:numFmt formatCode="General" sourceLinked="1"/>
        <c:majorTickMark val="out"/>
        <c:minorTickMark val="none"/>
        <c:tickLblPos val="nextTo"/>
        <c:crossAx val="1445419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0D6D-DB27-4A8C-9D7E-1DCF04F8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Affairs briefing</Template>
  <TotalTime>0</TotalTime>
  <Pages>11</Pages>
  <Words>1934</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Harkess</dc:creator>
  <cp:keywords/>
  <dc:description/>
  <cp:lastModifiedBy>Nicola Giles</cp:lastModifiedBy>
  <cp:revision>2</cp:revision>
  <cp:lastPrinted>2017-03-21T01:37:00Z</cp:lastPrinted>
  <dcterms:created xsi:type="dcterms:W3CDTF">2021-06-11T04:17:00Z</dcterms:created>
  <dcterms:modified xsi:type="dcterms:W3CDTF">2021-06-11T04:17:00Z</dcterms:modified>
</cp:coreProperties>
</file>