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80" w:rsidRPr="000D4A0C" w:rsidRDefault="00AF7F80" w:rsidP="000D4A0C">
      <w:r w:rsidRPr="000D4A0C">
        <w:t>Office of the Minister of Internal Affairs</w:t>
      </w:r>
    </w:p>
    <w:p w:rsidR="00AF7F80" w:rsidRPr="000D4A0C" w:rsidRDefault="00AF7F80" w:rsidP="000D4A0C"/>
    <w:p w:rsidR="00AF7F80" w:rsidRPr="000D4A0C" w:rsidRDefault="00AF7F80" w:rsidP="000D4A0C">
      <w:r w:rsidRPr="000D4A0C">
        <w:t>Cabinet Economic Growth and Infrastructure Committee</w:t>
      </w:r>
    </w:p>
    <w:p w:rsidR="00AF7F80" w:rsidRPr="000D4A0C" w:rsidRDefault="00AF7F80" w:rsidP="004C085F">
      <w:pPr>
        <w:pStyle w:val="Headingpage"/>
      </w:pPr>
      <w:r w:rsidRPr="000D4A0C">
        <w:t xml:space="preserve">Gambling Act 2003: </w:t>
      </w:r>
      <w:r w:rsidR="00510475" w:rsidRPr="000D4A0C">
        <w:t xml:space="preserve">Review of </w:t>
      </w:r>
      <w:r w:rsidRPr="000D4A0C">
        <w:t>class 4 gambling</w:t>
      </w:r>
    </w:p>
    <w:p w:rsidR="00AF7F80" w:rsidRPr="000D4A0C" w:rsidRDefault="00AF7F80" w:rsidP="004C085F">
      <w:pPr>
        <w:pStyle w:val="Cabinetpaperparaheading"/>
      </w:pPr>
      <w:r w:rsidRPr="000D4A0C">
        <w:t>Proposal</w:t>
      </w:r>
    </w:p>
    <w:p w:rsidR="00AF7F80" w:rsidRPr="000D4A0C" w:rsidRDefault="002D5B30" w:rsidP="004C085F">
      <w:pPr>
        <w:pStyle w:val="Numberedpara3level1"/>
      </w:pPr>
      <w:r w:rsidRPr="000D4A0C">
        <w:t>This paper:</w:t>
      </w:r>
      <w:bookmarkStart w:id="0" w:name="_GoBack"/>
      <w:bookmarkEnd w:id="0"/>
    </w:p>
    <w:p w:rsidR="002D5B30" w:rsidRPr="000D4A0C" w:rsidRDefault="007917EF" w:rsidP="004C085F">
      <w:pPr>
        <w:pStyle w:val="Bullet"/>
      </w:pPr>
      <w:r w:rsidRPr="000D4A0C">
        <w:t>sets out the current state</w:t>
      </w:r>
      <w:r w:rsidR="00222797" w:rsidRPr="000D4A0C">
        <w:t xml:space="preserve"> of the class 4 gambling sector</w:t>
      </w:r>
      <w:r w:rsidRPr="000D4A0C">
        <w:t>; and</w:t>
      </w:r>
      <w:r w:rsidR="002D5B30" w:rsidRPr="000D4A0C">
        <w:t xml:space="preserve"> </w:t>
      </w:r>
    </w:p>
    <w:p w:rsidR="002D5B30" w:rsidRPr="000D4A0C" w:rsidRDefault="002D5B30" w:rsidP="004C085F">
      <w:pPr>
        <w:pStyle w:val="Bullet"/>
      </w:pPr>
      <w:r w:rsidRPr="000D4A0C">
        <w:t>seeks agreement to develop proposals for public consultation on the future sustainabili</w:t>
      </w:r>
      <w:r w:rsidR="009F3951" w:rsidRPr="000D4A0C">
        <w:t>t</w:t>
      </w:r>
      <w:r w:rsidRPr="000D4A0C">
        <w:t xml:space="preserve">y of the </w:t>
      </w:r>
      <w:r w:rsidR="00FB5F64" w:rsidRPr="000D4A0C">
        <w:t>c</w:t>
      </w:r>
      <w:r w:rsidRPr="000D4A0C">
        <w:t>lass 4 gambling sector.</w:t>
      </w:r>
    </w:p>
    <w:p w:rsidR="00AF7F80" w:rsidRPr="000D4A0C" w:rsidRDefault="00AF7F80" w:rsidP="004C085F">
      <w:pPr>
        <w:pStyle w:val="Cabinetpaperparaheading"/>
      </w:pPr>
      <w:r w:rsidRPr="000D4A0C">
        <w:t>Executive summary</w:t>
      </w:r>
    </w:p>
    <w:p w:rsidR="002E0AAB" w:rsidRPr="000D4A0C" w:rsidRDefault="002E0AAB" w:rsidP="004C085F">
      <w:pPr>
        <w:pStyle w:val="Numberedpara3level1"/>
      </w:pPr>
      <w:r w:rsidRPr="000D4A0C">
        <w:t>In September 2015, Cabinet agreed to a broad review of the regulatory regime for class 4 gambling to determine if it remains fit-for-purpose. Cabinet wanted an assurance that the objectives of the Gambling Act 2003 are being met, and that the maximum benefits are being delivered to communities from class 4 gambling funding.</w:t>
      </w:r>
      <w:r w:rsidR="007A2AC0">
        <w:t xml:space="preserve"> The recent increase to gambling fees has also highlighted the importance of ensuring an efficient and fit-for-purpose regulatory regime.</w:t>
      </w:r>
    </w:p>
    <w:p w:rsidR="002E0AAB" w:rsidRPr="000D4A0C" w:rsidRDefault="002E0AAB" w:rsidP="004C085F">
      <w:pPr>
        <w:pStyle w:val="Numberedpara3level1"/>
      </w:pPr>
      <w:r w:rsidRPr="000D4A0C">
        <w:t>Class 4 gambling relates to gaming machines hosted in pubs, clubs and TABs. Class 4 gambling provides important funding to a range of community purposes, including sport. It has historically been the largest form of gambling by expenditure and provide</w:t>
      </w:r>
      <w:r w:rsidR="00406D21" w:rsidRPr="000D4A0C">
        <w:t>s</w:t>
      </w:r>
      <w:r w:rsidRPr="000D4A0C">
        <w:t xml:space="preserve"> the largest source of community funding from the four main gambling forms (which also include the New Zealand Lotteries Commission, the New Zealand Racing Board, and casinos).</w:t>
      </w:r>
    </w:p>
    <w:p w:rsidR="002E0AAB" w:rsidRPr="000D4A0C" w:rsidRDefault="002E0AAB" w:rsidP="004C085F">
      <w:pPr>
        <w:pStyle w:val="Numberedpara3level1"/>
      </w:pPr>
      <w:r w:rsidRPr="000D4A0C">
        <w:t>Over a number of years a combination of pressures has impacted on the cl</w:t>
      </w:r>
      <w:r w:rsidR="006B48B0" w:rsidRPr="000D4A0C">
        <w:t>a</w:t>
      </w:r>
      <w:r w:rsidRPr="000D4A0C">
        <w:t xml:space="preserve">ss 4 sector’s ability to maintain revenue and maximise </w:t>
      </w:r>
      <w:r w:rsidR="00F831E3" w:rsidRPr="000D4A0C">
        <w:t xml:space="preserve">benefits to the </w:t>
      </w:r>
      <w:r w:rsidRPr="000D4A0C">
        <w:t>community. Factors include:</w:t>
      </w:r>
    </w:p>
    <w:p w:rsidR="00442DEA" w:rsidRPr="004C085F" w:rsidRDefault="00442DEA" w:rsidP="004C085F">
      <w:pPr>
        <w:pStyle w:val="Numberedpara3level211"/>
      </w:pPr>
      <w:r w:rsidRPr="000D4A0C">
        <w:t>a complex and expensive regulatory framework</w:t>
      </w:r>
      <w:r w:rsidR="00F831E3" w:rsidRPr="000D4A0C">
        <w:t xml:space="preserve"> with multiple objectives</w:t>
      </w:r>
      <w:r w:rsidR="006E69CE">
        <w:t>;</w:t>
      </w:r>
    </w:p>
    <w:p w:rsidR="00AF7F80" w:rsidRPr="000D4A0C" w:rsidRDefault="00442DEA" w:rsidP="004C085F">
      <w:pPr>
        <w:pStyle w:val="Numberedpara3level211"/>
      </w:pPr>
      <w:r w:rsidRPr="000D4A0C">
        <w:t xml:space="preserve">the inability of class 4 to </w:t>
      </w:r>
      <w:r w:rsidR="007B4E4B" w:rsidRPr="000D4A0C">
        <w:t>change</w:t>
      </w:r>
      <w:r w:rsidR="00406D21" w:rsidRPr="000D4A0C">
        <w:t xml:space="preserve"> </w:t>
      </w:r>
      <w:r w:rsidRPr="000D4A0C">
        <w:t>relative to other parts of the gambling sector and hospitality sector</w:t>
      </w:r>
      <w:r w:rsidR="009F5B46" w:rsidRPr="000D4A0C">
        <w:t>, particularly because of class 4 gambling’s high harm potential</w:t>
      </w:r>
      <w:r w:rsidRPr="000D4A0C">
        <w:t>; and</w:t>
      </w:r>
    </w:p>
    <w:p w:rsidR="00406D21" w:rsidRPr="000D4A0C" w:rsidRDefault="006B48B0" w:rsidP="004C085F">
      <w:pPr>
        <w:pStyle w:val="Numberedpara3level211"/>
      </w:pPr>
      <w:r w:rsidRPr="000D4A0C">
        <w:t>a</w:t>
      </w:r>
      <w:r w:rsidR="00442DEA" w:rsidRPr="000D4A0C">
        <w:t xml:space="preserve"> de</w:t>
      </w:r>
      <w:r w:rsidRPr="000D4A0C">
        <w:t>c</w:t>
      </w:r>
      <w:r w:rsidR="00442DEA" w:rsidRPr="000D4A0C">
        <w:t>line in the number of societies, venues and gaming machines</w:t>
      </w:r>
      <w:r w:rsidR="00406D21" w:rsidRPr="000D4A0C">
        <w:t>.</w:t>
      </w:r>
    </w:p>
    <w:p w:rsidR="00BE294F" w:rsidRPr="000D4A0C" w:rsidRDefault="00AE6F48" w:rsidP="004C085F">
      <w:pPr>
        <w:pStyle w:val="Numberedpara3level1"/>
      </w:pPr>
      <w:r w:rsidRPr="000D4A0C">
        <w:t>A major driver of the review was a fear that the class 4 sector was in sever</w:t>
      </w:r>
      <w:r w:rsidR="00E67C7C" w:rsidRPr="000D4A0C">
        <w:t>e</w:t>
      </w:r>
      <w:r w:rsidRPr="000D4A0C">
        <w:t xml:space="preserve"> decline and therefore community funding was under threat.</w:t>
      </w:r>
    </w:p>
    <w:p w:rsidR="00442DEA" w:rsidRPr="000D4A0C" w:rsidRDefault="00AE6F48" w:rsidP="004C085F">
      <w:pPr>
        <w:pStyle w:val="Numberedpara3level1"/>
      </w:pPr>
      <w:r w:rsidRPr="000D4A0C">
        <w:t>Analysis undertaken on the review has found that e</w:t>
      </w:r>
      <w:r w:rsidR="00442DEA" w:rsidRPr="000D4A0C">
        <w:t xml:space="preserve">xpenditure on class 4 gambling declined significantly in the first few years after the Gambling Act was passed. </w:t>
      </w:r>
      <w:r w:rsidRPr="000D4A0C">
        <w:t>However, t</w:t>
      </w:r>
      <w:r w:rsidR="00442DEA" w:rsidRPr="000D4A0C">
        <w:t>his decline was arrested from 2010-11 and expenditure has experienced a marginal increase in 2014</w:t>
      </w:r>
      <w:r w:rsidR="008777CA">
        <w:t>-1</w:t>
      </w:r>
      <w:r w:rsidR="00442DEA" w:rsidRPr="000D4A0C">
        <w:t>5. Class 4 community funding returns stabilised around the same time and appear also to be increasing.</w:t>
      </w:r>
    </w:p>
    <w:p w:rsidR="00442DEA" w:rsidRPr="000D4A0C" w:rsidRDefault="00442DEA" w:rsidP="004C085F">
      <w:pPr>
        <w:pStyle w:val="Numberedpara3level1"/>
      </w:pPr>
      <w:r w:rsidRPr="000D4A0C">
        <w:lastRenderedPageBreak/>
        <w:t xml:space="preserve">There has been some consolidation of </w:t>
      </w:r>
      <w:r w:rsidR="00AE6F48" w:rsidRPr="000D4A0C">
        <w:t xml:space="preserve">class 4 </w:t>
      </w:r>
      <w:r w:rsidRPr="000D4A0C">
        <w:t xml:space="preserve">societies since the Gambling Act was passed. </w:t>
      </w:r>
      <w:r w:rsidR="00CE6366" w:rsidRPr="000D4A0C">
        <w:t>Ten</w:t>
      </w:r>
      <w:r w:rsidRPr="000D4A0C">
        <w:t xml:space="preserve"> years after the Act’s implementation a more mature class 4 sector exists, </w:t>
      </w:r>
      <w:r w:rsidR="007B4E4B" w:rsidRPr="000D4A0C">
        <w:t xml:space="preserve">although </w:t>
      </w:r>
      <w:r w:rsidRPr="000D4A0C">
        <w:t xml:space="preserve">the remaining societies are competing for a diminishing </w:t>
      </w:r>
      <w:r w:rsidR="007B4E4B" w:rsidRPr="000D4A0C">
        <w:t>number</w:t>
      </w:r>
      <w:r w:rsidRPr="000D4A0C">
        <w:t xml:space="preserve"> of venues.</w:t>
      </w:r>
    </w:p>
    <w:p w:rsidR="00442DEA" w:rsidRPr="000D4A0C" w:rsidRDefault="00406D21" w:rsidP="004C085F">
      <w:pPr>
        <w:pStyle w:val="Numberedpara3level1"/>
      </w:pPr>
      <w:r w:rsidRPr="000D4A0C">
        <w:t>T</w:t>
      </w:r>
      <w:r w:rsidR="00442DEA" w:rsidRPr="000D4A0C">
        <w:t xml:space="preserve">here is no </w:t>
      </w:r>
      <w:r w:rsidR="00941DD5">
        <w:t>evidence to support the need</w:t>
      </w:r>
      <w:r w:rsidR="00442DEA" w:rsidRPr="000D4A0C">
        <w:t xml:space="preserve"> for urgent remedial change to the regulatory environment. However, the future of the sector and sustainability of class 4 fund</w:t>
      </w:r>
      <w:r w:rsidR="00637E2A" w:rsidRPr="000D4A0C">
        <w:t>ing remain uncertain because of:</w:t>
      </w:r>
    </w:p>
    <w:p w:rsidR="00442DEA" w:rsidRPr="000D4A0C" w:rsidRDefault="00442DEA" w:rsidP="004C085F">
      <w:pPr>
        <w:pStyle w:val="Numberedpara3level211"/>
      </w:pPr>
      <w:r w:rsidRPr="000D4A0C">
        <w:t>the complexity and costs associated with the regulatory model</w:t>
      </w:r>
      <w:r w:rsidR="00B41E51">
        <w:t>, including recent regulatory changes and increased fees</w:t>
      </w:r>
      <w:r w:rsidR="006E69CE">
        <w:t>;</w:t>
      </w:r>
    </w:p>
    <w:p w:rsidR="00442DEA" w:rsidRPr="000D4A0C" w:rsidRDefault="00442DEA" w:rsidP="004C085F">
      <w:pPr>
        <w:pStyle w:val="Numberedpara3level211"/>
      </w:pPr>
      <w:r w:rsidRPr="000D4A0C">
        <w:t xml:space="preserve">potential changes to consumer preferences in the gambling and hospitality sectors (including </w:t>
      </w:r>
      <w:r w:rsidR="00F831E3" w:rsidRPr="000D4A0C">
        <w:t>developments in</w:t>
      </w:r>
      <w:r w:rsidRPr="000D4A0C">
        <w:t xml:space="preserve"> online gambling</w:t>
      </w:r>
      <w:r w:rsidR="00F831E3" w:rsidRPr="000D4A0C">
        <w:t xml:space="preserve"> </w:t>
      </w:r>
      <w:r w:rsidR="0061391B" w:rsidRPr="000D4A0C">
        <w:t>with</w:t>
      </w:r>
      <w:r w:rsidR="00F831E3" w:rsidRPr="000D4A0C">
        <w:t>in New Zealand</w:t>
      </w:r>
      <w:r w:rsidR="00D42125">
        <w:rPr>
          <w:rStyle w:val="FootnoteReference"/>
        </w:rPr>
        <w:footnoteReference w:id="1"/>
      </w:r>
      <w:r w:rsidR="0061391B" w:rsidRPr="000D4A0C">
        <w:t>,</w:t>
      </w:r>
      <w:r w:rsidR="00F831E3" w:rsidRPr="000D4A0C">
        <w:t xml:space="preserve"> and by New Zealanders </w:t>
      </w:r>
      <w:r w:rsidR="0061391B" w:rsidRPr="000D4A0C">
        <w:t>gambling with offshore providers</w:t>
      </w:r>
      <w:r w:rsidRPr="000D4A0C">
        <w:t>)</w:t>
      </w:r>
      <w:r w:rsidR="006E69CE">
        <w:t>;</w:t>
      </w:r>
    </w:p>
    <w:p w:rsidR="00442DEA" w:rsidRPr="000D4A0C" w:rsidRDefault="00442DEA" w:rsidP="004C085F">
      <w:pPr>
        <w:pStyle w:val="Numberedpara3level211"/>
      </w:pPr>
      <w:r w:rsidRPr="000D4A0C">
        <w:t>structural inefficiencies in the class 4 sector</w:t>
      </w:r>
      <w:r w:rsidR="006E69CE">
        <w:t>; and</w:t>
      </w:r>
    </w:p>
    <w:p w:rsidR="00442DEA" w:rsidRPr="000D4A0C" w:rsidRDefault="00442DEA" w:rsidP="004C085F">
      <w:pPr>
        <w:pStyle w:val="Numberedpara3level211"/>
      </w:pPr>
      <w:r w:rsidRPr="000D4A0C">
        <w:t>potential demographic changes in the gambling population.</w:t>
      </w:r>
    </w:p>
    <w:p w:rsidR="00442DEA" w:rsidRPr="000D4A0C" w:rsidRDefault="00442DEA" w:rsidP="004C085F">
      <w:pPr>
        <w:pStyle w:val="Numberedpara3level1"/>
      </w:pPr>
      <w:r w:rsidRPr="000D4A0C">
        <w:t xml:space="preserve">Even though expenditure has stabilised in recent years, we also should examine whether there are opportunities to maximise the amount and value of funding to communities. This includes exploring options to remove the transaction costs and other inefficiencies associated with the current gambling sector model (e.g. the high compliance and regulatory cost burden) and exploring options for </w:t>
      </w:r>
      <w:r w:rsidR="006B48B0" w:rsidRPr="000D4A0C">
        <w:t>G</w:t>
      </w:r>
      <w:r w:rsidRPr="000D4A0C">
        <w:t>overnment to ensure communities benefit as much as possible from the investments from gambling revenue.</w:t>
      </w:r>
    </w:p>
    <w:p w:rsidR="006B48B0" w:rsidRPr="000D4A0C" w:rsidRDefault="006B48B0" w:rsidP="004C085F">
      <w:pPr>
        <w:pStyle w:val="Numberedpara3level1"/>
      </w:pPr>
      <w:r w:rsidRPr="000D4A0C">
        <w:t>I therefore seek Cabinet agreement to public</w:t>
      </w:r>
      <w:r w:rsidR="006E69CE">
        <w:t>ly</w:t>
      </w:r>
      <w:r w:rsidRPr="000D4A0C">
        <w:t xml:space="preserve"> consult</w:t>
      </w:r>
      <w:r w:rsidR="00DE641B" w:rsidRPr="000D4A0C">
        <w:t xml:space="preserve"> on how </w:t>
      </w:r>
      <w:r w:rsidRPr="000D4A0C">
        <w:t>to more cost-effectively regulate the sector and ensure the long term sustainability and effective allocation of funding to communities</w:t>
      </w:r>
      <w:r w:rsidR="0061391B" w:rsidRPr="000D4A0C">
        <w:t>, while also ensuring gambling-related harm is minimised</w:t>
      </w:r>
      <w:r w:rsidRPr="000D4A0C">
        <w:t>.</w:t>
      </w:r>
      <w:r w:rsidR="00D42125">
        <w:t xml:space="preserve"> I am keen to ensure the </w:t>
      </w:r>
      <w:r w:rsidR="005F16FB">
        <w:t xml:space="preserve">legislation </w:t>
      </w:r>
      <w:r w:rsidR="00D42125">
        <w:t xml:space="preserve">is fit-for-purpose and </w:t>
      </w:r>
      <w:r w:rsidR="005F16FB">
        <w:t xml:space="preserve">that </w:t>
      </w:r>
      <w:r w:rsidR="00D42125">
        <w:t>current pressures on the sector do not lead to a later ‘tipping point’ that requires urgent remedial action</w:t>
      </w:r>
      <w:r w:rsidR="005F16FB">
        <w:t xml:space="preserve"> to sustain funding to communities</w:t>
      </w:r>
      <w:r w:rsidR="00D42125">
        <w:t>.</w:t>
      </w:r>
    </w:p>
    <w:p w:rsidR="007B0DA0" w:rsidRPr="000D4A0C" w:rsidRDefault="008F699E" w:rsidP="004C085F">
      <w:pPr>
        <w:pStyle w:val="Numberedpara3level1"/>
      </w:pPr>
      <w:r w:rsidRPr="000D4A0C">
        <w:t xml:space="preserve">The Minister for Racing is developing proposals </w:t>
      </w:r>
      <w:r w:rsidR="009105C3" w:rsidRPr="000D4A0C">
        <w:t xml:space="preserve">separately </w:t>
      </w:r>
      <w:r w:rsidRPr="000D4A0C">
        <w:t>to deal with online racing and sports betting activities. The proposals are relevant to the class 4 review as they will potentially increase overall gambling options for New Zealanders. Th</w:t>
      </w:r>
      <w:r w:rsidR="009105C3" w:rsidRPr="000D4A0C">
        <w:t>is</w:t>
      </w:r>
      <w:r w:rsidRPr="000D4A0C">
        <w:t xml:space="preserve"> work is proceeding on a separate track</w:t>
      </w:r>
      <w:r w:rsidR="009105C3" w:rsidRPr="000D4A0C">
        <w:t xml:space="preserve"> to the class 4 review</w:t>
      </w:r>
      <w:r w:rsidRPr="000D4A0C">
        <w:t xml:space="preserve">, </w:t>
      </w:r>
      <w:r w:rsidR="007A2AC0">
        <w:t xml:space="preserve">though </w:t>
      </w:r>
      <w:r w:rsidRPr="000D4A0C">
        <w:t xml:space="preserve">I </w:t>
      </w:r>
      <w:r w:rsidR="007A2AC0">
        <w:t xml:space="preserve">will work with the Minister for Racing </w:t>
      </w:r>
      <w:r w:rsidRPr="000D4A0C">
        <w:t>to ensure that the two work streams are coordinated as much as possible.</w:t>
      </w:r>
    </w:p>
    <w:p w:rsidR="00AF7F80" w:rsidRPr="000D4A0C" w:rsidRDefault="00AF7F80" w:rsidP="004C085F">
      <w:pPr>
        <w:pStyle w:val="Cabinetpaperparaheading"/>
      </w:pPr>
      <w:r w:rsidRPr="000D4A0C">
        <w:lastRenderedPageBreak/>
        <w:t>Background</w:t>
      </w:r>
    </w:p>
    <w:p w:rsidR="00A23D79" w:rsidRPr="000D4A0C" w:rsidRDefault="00A23D79" w:rsidP="004C085F">
      <w:pPr>
        <w:pStyle w:val="Cabinetpaperparasubheading"/>
      </w:pPr>
      <w:r w:rsidRPr="000D4A0C">
        <w:t xml:space="preserve">Previous Cabinet decisions </w:t>
      </w:r>
    </w:p>
    <w:p w:rsidR="00A23D79" w:rsidRPr="000D4A0C" w:rsidRDefault="00A23D79" w:rsidP="004C085F">
      <w:pPr>
        <w:pStyle w:val="Numberedpara3level1"/>
      </w:pPr>
      <w:r w:rsidRPr="000D4A0C">
        <w:t xml:space="preserve">This paper follows Cabinet agreement in September 2015 to a review to determine whether the regulatory regime for class 4 gambling remains fit-for-purpose and is achieving the purposes of the Gambling Act 2003. </w:t>
      </w:r>
      <w:r w:rsidR="001B3CAD" w:rsidRPr="000D4A0C">
        <w:t>These purposes include controlling the growth of gambling, preventing and minimising harm and ensuring that money generated from gambling benefits the community.</w:t>
      </w:r>
    </w:p>
    <w:p w:rsidR="00A23D79" w:rsidRPr="000D4A0C" w:rsidRDefault="00A23D79" w:rsidP="004C085F">
      <w:pPr>
        <w:pStyle w:val="Numberedpara3level1"/>
      </w:pPr>
      <w:r w:rsidRPr="000D4A0C">
        <w:t xml:space="preserve">The review’s Terms of Reference outlined the scope of the review within the context of a primary objective of sustainable (total) grant funding to the community. It was proposed that the review, amongst other things, undertake initial environmental scanning and problem identification by the Department of Internal Affairs </w:t>
      </w:r>
      <w:r w:rsidR="00BC6FB6" w:rsidRPr="000D4A0C">
        <w:t xml:space="preserve">(the Department) </w:t>
      </w:r>
      <w:r w:rsidRPr="000D4A0C">
        <w:t>and seek Cabinet’s view on future strategic direction, including whether to take the review further.</w:t>
      </w:r>
    </w:p>
    <w:p w:rsidR="00A23D79" w:rsidRPr="000D4A0C" w:rsidRDefault="00A23D79" w:rsidP="004C085F">
      <w:pPr>
        <w:pStyle w:val="Numberedpara3level1"/>
      </w:pPr>
      <w:r w:rsidRPr="000D4A0C">
        <w:t>Cabinet noted that I would report back to this Committee in early 2016 with progress on the review [CAB-15-MIN-0074 refers].</w:t>
      </w:r>
    </w:p>
    <w:p w:rsidR="00A23D79" w:rsidRPr="000D4A0C" w:rsidRDefault="00A23D79" w:rsidP="004C085F">
      <w:pPr>
        <w:pStyle w:val="Cabinetpaperparasubheading"/>
      </w:pPr>
      <w:r w:rsidRPr="000D4A0C">
        <w:t>Key features of the sector</w:t>
      </w:r>
    </w:p>
    <w:p w:rsidR="002D5B30" w:rsidRPr="000D4A0C" w:rsidRDefault="00416529" w:rsidP="004C085F">
      <w:pPr>
        <w:pStyle w:val="Numberedpara3level1"/>
      </w:pPr>
      <w:r w:rsidRPr="000D4A0C">
        <w:t xml:space="preserve">Class 4 gambling relates to gaming machines hosted </w:t>
      </w:r>
      <w:r w:rsidR="00C82CC7" w:rsidRPr="000D4A0C">
        <w:t>m</w:t>
      </w:r>
      <w:r w:rsidRPr="000D4A0C">
        <w:t>ainly</w:t>
      </w:r>
      <w:r w:rsidR="00C82CC7" w:rsidRPr="000D4A0C">
        <w:t xml:space="preserve"> in</w:t>
      </w:r>
      <w:r w:rsidRPr="000D4A0C">
        <w:t xml:space="preserve"> pubs, clubs and TABs</w:t>
      </w:r>
      <w:r w:rsidR="000579BD">
        <w:rPr>
          <w:rStyle w:val="FootnoteReference"/>
        </w:rPr>
        <w:footnoteReference w:id="2"/>
      </w:r>
      <w:r w:rsidRPr="000D4A0C">
        <w:t>. It does not include gaming machines in casinos.</w:t>
      </w:r>
      <w:r w:rsidR="000F116E" w:rsidRPr="000D4A0C">
        <w:t xml:space="preserve"> </w:t>
      </w:r>
      <w:r w:rsidRPr="000D4A0C">
        <w:t>Not-for-profit c</w:t>
      </w:r>
      <w:r w:rsidR="00AF7F80" w:rsidRPr="000D4A0C">
        <w:t xml:space="preserve">orporate societies </w:t>
      </w:r>
      <w:r w:rsidRPr="000D4A0C">
        <w:t xml:space="preserve">own the machines and contract with </w:t>
      </w:r>
      <w:r w:rsidR="009164D0" w:rsidRPr="000D4A0C">
        <w:t xml:space="preserve">commercial </w:t>
      </w:r>
      <w:r w:rsidRPr="000D4A0C">
        <w:t xml:space="preserve">venues </w:t>
      </w:r>
      <w:r w:rsidR="007F1F67" w:rsidRPr="000D4A0C">
        <w:t xml:space="preserve">(pubs) </w:t>
      </w:r>
      <w:r w:rsidRPr="000D4A0C">
        <w:t>that ‘host’ the machines for them, in return for payment. All expenditure from the machines is provided to the societies and a proportion of that is returned to communities</w:t>
      </w:r>
      <w:r w:rsidR="0061391B" w:rsidRPr="000D4A0C">
        <w:t xml:space="preserve"> in the form of contestable grants</w:t>
      </w:r>
      <w:r w:rsidRPr="000D4A0C">
        <w:t xml:space="preserve">. </w:t>
      </w:r>
    </w:p>
    <w:p w:rsidR="00291474" w:rsidRPr="000D4A0C" w:rsidRDefault="00632406" w:rsidP="004C085F">
      <w:pPr>
        <w:pStyle w:val="Numberedpara3level1"/>
      </w:pPr>
      <w:r w:rsidRPr="000D4A0C">
        <w:t>Class 4 s</w:t>
      </w:r>
      <w:r w:rsidR="00291474" w:rsidRPr="000D4A0C">
        <w:t xml:space="preserve">ocieties are required to make available </w:t>
      </w:r>
      <w:r w:rsidRPr="000D4A0C">
        <w:t>all net proceeds from</w:t>
      </w:r>
      <w:r w:rsidR="00291474" w:rsidRPr="000D4A0C">
        <w:t xml:space="preserve"> expenditure (excluding GST) on their machines for distribution to communities, after gaming duties, taxes and levies and various </w:t>
      </w:r>
      <w:r w:rsidR="006E69CE">
        <w:t xml:space="preserve">other </w:t>
      </w:r>
      <w:r w:rsidR="00291474" w:rsidRPr="000D4A0C">
        <w:t xml:space="preserve">costs have been deducted. </w:t>
      </w:r>
      <w:r w:rsidRPr="000D4A0C">
        <w:t xml:space="preserve">A current minimum rate of return applies of 40 per cent of </w:t>
      </w:r>
      <w:r w:rsidR="006E69CE">
        <w:t>G</w:t>
      </w:r>
      <w:r w:rsidR="0038287F">
        <w:t>S</w:t>
      </w:r>
      <w:r w:rsidR="006E69CE">
        <w:t xml:space="preserve">T-exclusive </w:t>
      </w:r>
      <w:r w:rsidR="002546FB" w:rsidRPr="000D4A0C">
        <w:t>gross proceeds</w:t>
      </w:r>
      <w:r w:rsidRPr="000D4A0C">
        <w:t xml:space="preserve">. </w:t>
      </w:r>
      <w:r w:rsidR="00291474" w:rsidRPr="000D4A0C">
        <w:t>In 2014, the average rate of return by societies was just under 42 per cent.</w:t>
      </w:r>
    </w:p>
    <w:p w:rsidR="007917EF" w:rsidRPr="000D4A0C" w:rsidRDefault="00291474" w:rsidP="004C085F">
      <w:pPr>
        <w:pStyle w:val="Numberedpara3level1"/>
      </w:pPr>
      <w:r w:rsidRPr="000D4A0C">
        <w:t>Between 40</w:t>
      </w:r>
      <w:r w:rsidR="007917EF" w:rsidRPr="000D4A0C">
        <w:t xml:space="preserve"> and 50 per cent of grants by value from non-club societies are currently allocated to sport, excluding racing, with rugby in particular receiving significant funding</w:t>
      </w:r>
      <w:r w:rsidR="00AE3E14" w:rsidRPr="000D4A0C">
        <w:t xml:space="preserve"> (</w:t>
      </w:r>
      <w:r w:rsidR="00CE6366" w:rsidRPr="000D4A0C">
        <w:t>nine</w:t>
      </w:r>
      <w:r w:rsidR="00AE3E14" w:rsidRPr="000D4A0C">
        <w:t xml:space="preserve"> per cent)</w:t>
      </w:r>
      <w:r w:rsidR="007917EF" w:rsidRPr="000D4A0C">
        <w:t>. Other purposes that receive funding include general community purposes, education, emergency services, racing, community services, arts, health, and childcare</w:t>
      </w:r>
      <w:r w:rsidR="00AE3E14" w:rsidRPr="000D4A0C">
        <w:t xml:space="preserve"> (Figure 1)</w:t>
      </w:r>
      <w:r w:rsidR="007917EF" w:rsidRPr="000D4A0C">
        <w:t>.</w:t>
      </w:r>
    </w:p>
    <w:p w:rsidR="00AE3E14" w:rsidRPr="000D4A0C" w:rsidRDefault="00AE3E14" w:rsidP="000D4A0C"/>
    <w:p w:rsidR="00A7650A" w:rsidRPr="000D4A0C" w:rsidRDefault="00AE3E14" w:rsidP="000D4A0C">
      <w:r w:rsidRPr="000D4A0C">
        <w:rPr>
          <w:noProof/>
          <w:lang w:eastAsia="en-NZ"/>
        </w:rPr>
        <w:lastRenderedPageBreak/>
        <w:drawing>
          <wp:inline distT="0" distB="0" distL="0" distR="0" wp14:anchorId="3E1646A1" wp14:editId="77A05F68">
            <wp:extent cx="5404514" cy="2859206"/>
            <wp:effectExtent l="0" t="0" r="2476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3E14" w:rsidRPr="000D4A0C" w:rsidRDefault="00AE3E14" w:rsidP="00457C4B">
      <w:pPr>
        <w:pStyle w:val="Tinyline"/>
      </w:pPr>
    </w:p>
    <w:p w:rsidR="00BC6FB6" w:rsidRPr="000D4A0C" w:rsidRDefault="00BC6FB6" w:rsidP="004C085F">
      <w:pPr>
        <w:pStyle w:val="Numberedpara3level1"/>
      </w:pPr>
      <w:r w:rsidRPr="000D4A0C">
        <w:t xml:space="preserve">A prescriptive regulatory framework for class 4 gambling </w:t>
      </w:r>
      <w:r w:rsidR="007F52A6" w:rsidRPr="000D4A0C">
        <w:t>reflects the harms associated with this form of gambling.</w:t>
      </w:r>
      <w:r w:rsidR="00435540" w:rsidRPr="000D4A0C">
        <w:t xml:space="preserve"> </w:t>
      </w:r>
      <w:r w:rsidR="007F52A6" w:rsidRPr="000D4A0C">
        <w:t>New Zealand and international research shows that gambling harm is far more likely to be associated with the use of gaming machines than other forms of gambling.</w:t>
      </w:r>
      <w:r w:rsidR="00510E2B" w:rsidRPr="000D4A0C">
        <w:t xml:space="preserve"> </w:t>
      </w:r>
      <w:r w:rsidR="0061391B" w:rsidRPr="000D4A0C">
        <w:t xml:space="preserve">This is particularly the case for </w:t>
      </w:r>
      <w:r w:rsidR="0061391B" w:rsidRPr="00F467A7">
        <w:t>M</w:t>
      </w:r>
      <w:r w:rsidR="00D952CC" w:rsidRPr="00F467A7">
        <w:t>ā</w:t>
      </w:r>
      <w:r w:rsidR="0061391B" w:rsidRPr="00F467A7">
        <w:t>ori</w:t>
      </w:r>
      <w:r w:rsidR="0061391B" w:rsidRPr="000D4A0C">
        <w:t>, who are significantly over-represented</w:t>
      </w:r>
      <w:r w:rsidR="006F2E87" w:rsidRPr="000D4A0C">
        <w:t xml:space="preserve"> in the class 4 gaming sector. </w:t>
      </w:r>
      <w:r w:rsidR="006F2E87" w:rsidRPr="00F467A7">
        <w:t>M</w:t>
      </w:r>
      <w:r w:rsidR="00F467A7" w:rsidRPr="00F467A7">
        <w:t>ā</w:t>
      </w:r>
      <w:r w:rsidR="006F2E87" w:rsidRPr="00F467A7">
        <w:t>ori</w:t>
      </w:r>
      <w:r w:rsidR="006F2E87" w:rsidRPr="000D4A0C">
        <w:t xml:space="preserve"> are also disproportionately represented in lower socio-economic neighbourhoods where the density of gaming machines is higher.</w:t>
      </w:r>
    </w:p>
    <w:p w:rsidR="008A0B16" w:rsidRPr="000D4A0C" w:rsidRDefault="008A0B16" w:rsidP="004C085F">
      <w:pPr>
        <w:pStyle w:val="Numberedpara3level1"/>
      </w:pPr>
      <w:r w:rsidRPr="000D4A0C">
        <w:t xml:space="preserve">The regulatory model for </w:t>
      </w:r>
      <w:r w:rsidR="00CC2CC8" w:rsidRPr="000D4A0C">
        <w:t>c</w:t>
      </w:r>
      <w:r w:rsidRPr="000D4A0C">
        <w:t xml:space="preserve">lass 4 gambling is </w:t>
      </w:r>
      <w:r w:rsidR="007F52A6" w:rsidRPr="000D4A0C">
        <w:t xml:space="preserve">also </w:t>
      </w:r>
      <w:r w:rsidRPr="000D4A0C">
        <w:t xml:space="preserve">high cost. We accept a high degree of regulator costs and the running costs of </w:t>
      </w:r>
      <w:r w:rsidR="00B76C94" w:rsidRPr="000D4A0C">
        <w:t>around 40</w:t>
      </w:r>
      <w:r w:rsidRPr="000D4A0C">
        <w:t xml:space="preserve"> societies in return for </w:t>
      </w:r>
      <w:r w:rsidR="007917EF" w:rsidRPr="000D4A0C">
        <w:t xml:space="preserve">relatively </w:t>
      </w:r>
      <w:r w:rsidR="00803FE0" w:rsidRPr="000D4A0C">
        <w:t>open</w:t>
      </w:r>
      <w:r w:rsidR="007917EF" w:rsidRPr="000D4A0C">
        <w:t xml:space="preserve"> </w:t>
      </w:r>
      <w:r w:rsidRPr="000D4A0C">
        <w:t>entry to the sector</w:t>
      </w:r>
      <w:r w:rsidR="007917EF" w:rsidRPr="000D4A0C">
        <w:t xml:space="preserve">, and the </w:t>
      </w:r>
      <w:r w:rsidRPr="000D4A0C">
        <w:t xml:space="preserve">ability for </w:t>
      </w:r>
      <w:r w:rsidR="007917EF" w:rsidRPr="000D4A0C">
        <w:t xml:space="preserve">societies to undertake “grass roots” </w:t>
      </w:r>
      <w:r w:rsidRPr="000D4A0C">
        <w:t>funding to specific local causes.</w:t>
      </w:r>
    </w:p>
    <w:p w:rsidR="00D07537" w:rsidRPr="000D4A0C" w:rsidRDefault="002D5B30" w:rsidP="004C085F">
      <w:pPr>
        <w:pStyle w:val="Cabinetpaperparaheading"/>
      </w:pPr>
      <w:r w:rsidRPr="000D4A0C">
        <w:t>Summary of key findings</w:t>
      </w:r>
    </w:p>
    <w:p w:rsidR="002D5B30" w:rsidRPr="000D4A0C" w:rsidRDefault="00953FC1" w:rsidP="004C085F">
      <w:pPr>
        <w:pStyle w:val="Numberedpara3level1"/>
      </w:pPr>
      <w:r w:rsidRPr="000D4A0C">
        <w:t>The Department conducted an</w:t>
      </w:r>
      <w:r w:rsidR="002D5B30" w:rsidRPr="000D4A0C">
        <w:t xml:space="preserve"> environmental scan </w:t>
      </w:r>
      <w:r w:rsidRPr="000D4A0C">
        <w:t xml:space="preserve">to determine the extent of </w:t>
      </w:r>
      <w:r w:rsidR="0023169B" w:rsidRPr="000D4A0C">
        <w:t xml:space="preserve">the </w:t>
      </w:r>
      <w:r w:rsidR="00117923" w:rsidRPr="000D4A0C">
        <w:t>decline in</w:t>
      </w:r>
      <w:r w:rsidRPr="000D4A0C">
        <w:t xml:space="preserve"> class 4 </w:t>
      </w:r>
      <w:r w:rsidR="00117923" w:rsidRPr="000D4A0C">
        <w:t>expenditure</w:t>
      </w:r>
      <w:r w:rsidRPr="000D4A0C">
        <w:t>, the reasons for the decline</w:t>
      </w:r>
      <w:r w:rsidR="00032A86" w:rsidRPr="000D4A0C">
        <w:t>,</w:t>
      </w:r>
      <w:r w:rsidRPr="000D4A0C">
        <w:t xml:space="preserve"> and whether it is expected to </w:t>
      </w:r>
      <w:r w:rsidR="00117923" w:rsidRPr="000D4A0C">
        <w:t>continue</w:t>
      </w:r>
      <w:r w:rsidR="00A23D79" w:rsidRPr="000D4A0C">
        <w:t xml:space="preserve"> in the future</w:t>
      </w:r>
      <w:r w:rsidRPr="000D4A0C">
        <w:t xml:space="preserve">. The scan sought to assess the impacts of </w:t>
      </w:r>
      <w:r w:rsidR="00ED69CB" w:rsidRPr="000D4A0C">
        <w:t>class 4 trends on levels of funding available for community grants. The key findings</w:t>
      </w:r>
      <w:r w:rsidRPr="000D4A0C">
        <w:t xml:space="preserve"> </w:t>
      </w:r>
      <w:r w:rsidR="002D5B30" w:rsidRPr="000D4A0C">
        <w:t>are</w:t>
      </w:r>
      <w:r w:rsidRPr="000D4A0C">
        <w:t xml:space="preserve"> summarised below</w:t>
      </w:r>
      <w:r w:rsidR="00ED69CB" w:rsidRPr="000D4A0C">
        <w:t>.</w:t>
      </w:r>
    </w:p>
    <w:p w:rsidR="007917EF" w:rsidRPr="000D4A0C" w:rsidRDefault="007917EF" w:rsidP="004C085F">
      <w:pPr>
        <w:pStyle w:val="Cabinetpaperparasubheading"/>
      </w:pPr>
      <w:r w:rsidRPr="000D4A0C">
        <w:t xml:space="preserve">Class 4 expenditure has declined since 2004 but recently stabilised </w:t>
      </w:r>
    </w:p>
    <w:p w:rsidR="00B6792B" w:rsidRPr="000D4A0C" w:rsidRDefault="00B6792B" w:rsidP="004C085F">
      <w:pPr>
        <w:pStyle w:val="Numberedpara3level1"/>
      </w:pPr>
      <w:r w:rsidRPr="000D4A0C">
        <w:t>Total annual class 4 expenditure reduced significantly between 2004 and 2015</w:t>
      </w:r>
      <w:r w:rsidR="00352880" w:rsidRPr="000D4A0C">
        <w:t>,</w:t>
      </w:r>
      <w:r w:rsidRPr="000D4A0C">
        <w:t xml:space="preserve"> from $1,</w:t>
      </w:r>
      <w:r w:rsidR="00953FC1" w:rsidRPr="000D4A0C">
        <w:t>328</w:t>
      </w:r>
      <w:r w:rsidRPr="000D4A0C">
        <w:t xml:space="preserve"> million to $</w:t>
      </w:r>
      <w:r w:rsidR="00953FC1" w:rsidRPr="000D4A0C">
        <w:t>818</w:t>
      </w:r>
      <w:r w:rsidRPr="000D4A0C">
        <w:t xml:space="preserve"> million in real terms – a decline of </w:t>
      </w:r>
      <w:r w:rsidR="00953FC1" w:rsidRPr="000D4A0C">
        <w:t>38</w:t>
      </w:r>
      <w:r w:rsidRPr="000D4A0C">
        <w:t xml:space="preserve"> per cent</w:t>
      </w:r>
      <w:r w:rsidR="00953FC1" w:rsidRPr="000D4A0C">
        <w:t xml:space="preserve"> (Figure </w:t>
      </w:r>
      <w:r w:rsidR="00BE294F" w:rsidRPr="000D4A0C">
        <w:t>2</w:t>
      </w:r>
      <w:r w:rsidR="00953FC1" w:rsidRPr="000D4A0C">
        <w:t>)</w:t>
      </w:r>
      <w:r w:rsidR="00ED69CB" w:rsidRPr="000D4A0C">
        <w:t xml:space="preserve">. </w:t>
      </w:r>
      <w:r w:rsidRPr="000D4A0C">
        <w:t>The decline in class 4 expenditure was the sole reason why total expenditure across the four main modes of gambling declined by 2</w:t>
      </w:r>
      <w:r w:rsidR="00953FC1" w:rsidRPr="000D4A0C">
        <w:t>0</w:t>
      </w:r>
      <w:r w:rsidRPr="000D4A0C">
        <w:t xml:space="preserve"> per cent during the period</w:t>
      </w:r>
      <w:r w:rsidR="00ED69CB" w:rsidRPr="000D4A0C">
        <w:t>. T</w:t>
      </w:r>
      <w:r w:rsidRPr="000D4A0C">
        <w:t>he other modes experienced an overall increase</w:t>
      </w:r>
      <w:r w:rsidR="006E0B6A" w:rsidRPr="000D4A0C">
        <w:t>.</w:t>
      </w:r>
    </w:p>
    <w:p w:rsidR="00EE4E48" w:rsidRPr="000D4A0C" w:rsidRDefault="00EE4E48" w:rsidP="000D4A0C"/>
    <w:p w:rsidR="006E0B6A" w:rsidRDefault="0052326D" w:rsidP="000D4A0C">
      <w:r w:rsidRPr="000D4A0C">
        <w:rPr>
          <w:noProof/>
          <w:lang w:eastAsia="en-NZ"/>
        </w:rPr>
        <w:lastRenderedPageBreak/>
        <w:drawing>
          <wp:inline distT="0" distB="0" distL="0" distR="0" wp14:anchorId="5E791F93" wp14:editId="67BD41E9">
            <wp:extent cx="5348279" cy="331640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6661" cy="3321603"/>
                    </a:xfrm>
                    <a:prstGeom prst="rect">
                      <a:avLst/>
                    </a:prstGeom>
                    <a:noFill/>
                    <a:ln>
                      <a:noFill/>
                    </a:ln>
                  </pic:spPr>
                </pic:pic>
              </a:graphicData>
            </a:graphic>
          </wp:inline>
        </w:drawing>
      </w:r>
    </w:p>
    <w:p w:rsidR="00457C4B" w:rsidRPr="000D4A0C" w:rsidRDefault="00457C4B" w:rsidP="00457C4B">
      <w:pPr>
        <w:pStyle w:val="Tinyline"/>
      </w:pPr>
    </w:p>
    <w:p w:rsidR="00B6792B" w:rsidRDefault="00ED69CB" w:rsidP="004C085F">
      <w:pPr>
        <w:pStyle w:val="Numberedpara3level1"/>
      </w:pPr>
      <w:r w:rsidRPr="000D4A0C">
        <w:t>However, f</w:t>
      </w:r>
      <w:r w:rsidR="003A5FAC" w:rsidRPr="000D4A0C">
        <w:t>rom</w:t>
      </w:r>
      <w:r w:rsidR="00B6792B" w:rsidRPr="000D4A0C">
        <w:t xml:space="preserve"> 201</w:t>
      </w:r>
      <w:r w:rsidR="00AB23AC" w:rsidRPr="000D4A0C">
        <w:t>1</w:t>
      </w:r>
      <w:r w:rsidR="00B6792B" w:rsidRPr="000D4A0C">
        <w:t>, the decline</w:t>
      </w:r>
      <w:r w:rsidR="00F41AB2" w:rsidRPr="000D4A0C">
        <w:t xml:space="preserve"> in class 4 expenditure</w:t>
      </w:r>
      <w:r w:rsidR="00B6792B" w:rsidRPr="000D4A0C">
        <w:t xml:space="preserve"> </w:t>
      </w:r>
      <w:r w:rsidR="003A5FAC" w:rsidRPr="000D4A0C">
        <w:t>was</w:t>
      </w:r>
      <w:r w:rsidR="00B6792B" w:rsidRPr="000D4A0C">
        <w:t xml:space="preserve"> arrested and </w:t>
      </w:r>
      <w:r w:rsidR="00F41AB2" w:rsidRPr="000D4A0C">
        <w:t xml:space="preserve">has </w:t>
      </w:r>
      <w:r w:rsidR="00B76C94" w:rsidRPr="000D4A0C">
        <w:t xml:space="preserve">since </w:t>
      </w:r>
      <w:r w:rsidR="00B6792B" w:rsidRPr="000D4A0C">
        <w:t xml:space="preserve">been relatively stable, with a slight increase </w:t>
      </w:r>
      <w:r w:rsidR="00B76C94" w:rsidRPr="000D4A0C">
        <w:t>reported for</w:t>
      </w:r>
      <w:r w:rsidR="00B6792B" w:rsidRPr="000D4A0C">
        <w:t xml:space="preserve"> 2015</w:t>
      </w:r>
      <w:r w:rsidR="00311988" w:rsidRPr="000D4A0C">
        <w:t xml:space="preserve"> </w:t>
      </w:r>
      <w:r w:rsidR="00EE4E48" w:rsidRPr="000D4A0C">
        <w:t xml:space="preserve">(Figure </w:t>
      </w:r>
      <w:r w:rsidR="00BE294F" w:rsidRPr="000D4A0C">
        <w:t>3</w:t>
      </w:r>
      <w:r w:rsidR="00EE4E48" w:rsidRPr="000D4A0C">
        <w:t>).</w:t>
      </w:r>
      <w:r w:rsidR="00311988" w:rsidRPr="000D4A0C">
        <w:t xml:space="preserve"> </w:t>
      </w:r>
      <w:r w:rsidR="00EE4E48" w:rsidRPr="000D4A0C">
        <w:t>F</w:t>
      </w:r>
      <w:r w:rsidR="00EF4A56" w:rsidRPr="000D4A0C">
        <w:t xml:space="preserve">urther </w:t>
      </w:r>
      <w:r w:rsidR="00311988" w:rsidRPr="000D4A0C">
        <w:t xml:space="preserve">increases </w:t>
      </w:r>
      <w:r w:rsidR="00EE4E48" w:rsidRPr="000D4A0C">
        <w:t xml:space="preserve">have been </w:t>
      </w:r>
      <w:r w:rsidR="00311988" w:rsidRPr="000D4A0C">
        <w:t>reported for the first two quarters</w:t>
      </w:r>
      <w:r w:rsidR="003A5FAC" w:rsidRPr="000D4A0C">
        <w:t xml:space="preserve"> of 2015-16</w:t>
      </w:r>
      <w:r w:rsidR="006E0B6A" w:rsidRPr="000D4A0C">
        <w:t>.</w:t>
      </w:r>
    </w:p>
    <w:p w:rsidR="00457C4B" w:rsidRPr="000D4A0C" w:rsidRDefault="00457C4B" w:rsidP="00457C4B">
      <w:pPr>
        <w:pStyle w:val="Tinyline"/>
      </w:pPr>
    </w:p>
    <w:p w:rsidR="00981045" w:rsidRPr="000D4A0C" w:rsidRDefault="0052326D" w:rsidP="000D4A0C">
      <w:r w:rsidRPr="000D4A0C">
        <w:rPr>
          <w:noProof/>
          <w:lang w:eastAsia="en-NZ"/>
        </w:rPr>
        <w:drawing>
          <wp:inline distT="0" distB="0" distL="0" distR="0" wp14:anchorId="62967CFB" wp14:editId="42459442">
            <wp:extent cx="5363570" cy="2819788"/>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1835" cy="2818876"/>
                    </a:xfrm>
                    <a:prstGeom prst="rect">
                      <a:avLst/>
                    </a:prstGeom>
                    <a:noFill/>
                    <a:ln>
                      <a:noFill/>
                    </a:ln>
                  </pic:spPr>
                </pic:pic>
              </a:graphicData>
            </a:graphic>
          </wp:inline>
        </w:drawing>
      </w:r>
    </w:p>
    <w:p w:rsidR="001A16A4" w:rsidRPr="000D4A0C" w:rsidRDefault="001A16A4" w:rsidP="00457C4B">
      <w:pPr>
        <w:pStyle w:val="Tinyline"/>
      </w:pPr>
    </w:p>
    <w:p w:rsidR="0009249F" w:rsidRPr="000D4A0C" w:rsidRDefault="0009249F" w:rsidP="004C085F">
      <w:pPr>
        <w:pStyle w:val="Cabinetpaperparasubheading"/>
      </w:pPr>
      <w:r w:rsidRPr="000D4A0C">
        <w:lastRenderedPageBreak/>
        <w:t>Class 4 community funding also declined from 2004, but has stabilised</w:t>
      </w:r>
    </w:p>
    <w:p w:rsidR="00352880" w:rsidRPr="000D4A0C" w:rsidRDefault="00352880" w:rsidP="004C085F">
      <w:pPr>
        <w:pStyle w:val="Numberedpara3level1"/>
      </w:pPr>
      <w:r w:rsidRPr="000D4A0C">
        <w:t xml:space="preserve">Total distribution </w:t>
      </w:r>
      <w:r w:rsidR="006E69CE">
        <w:t xml:space="preserve">of </w:t>
      </w:r>
      <w:r w:rsidRPr="000D4A0C">
        <w:t>funding to community organisations</w:t>
      </w:r>
      <w:r w:rsidR="00A23D79" w:rsidRPr="000D4A0C">
        <w:t xml:space="preserve"> from </w:t>
      </w:r>
      <w:r w:rsidR="00E01F12" w:rsidRPr="000D4A0C">
        <w:t xml:space="preserve">non-club </w:t>
      </w:r>
      <w:r w:rsidR="00A23D79" w:rsidRPr="000D4A0C">
        <w:t>class 4 gambling</w:t>
      </w:r>
      <w:r w:rsidRPr="000D4A0C">
        <w:t xml:space="preserve"> reduced between 2004 and 2015, from $389 million to $262 million in real terms – a decline of 33 per cent.</w:t>
      </w:r>
      <w:r w:rsidR="0018177A" w:rsidRPr="000D4A0C">
        <w:t xml:space="preserve"> However, funding has been relatively </w:t>
      </w:r>
      <w:r w:rsidR="006F2E87" w:rsidRPr="000D4A0C">
        <w:t>stable</w:t>
      </w:r>
      <w:r w:rsidR="0018177A" w:rsidRPr="000D4A0C">
        <w:t xml:space="preserve"> in recent years, at around $260 million per annum</w:t>
      </w:r>
      <w:r w:rsidR="000579BD">
        <w:rPr>
          <w:rStyle w:val="FootnoteReference"/>
        </w:rPr>
        <w:footnoteReference w:id="3"/>
      </w:r>
      <w:r w:rsidR="0018177A" w:rsidRPr="000D4A0C">
        <w:t>.</w:t>
      </w:r>
    </w:p>
    <w:p w:rsidR="007917EF" w:rsidRPr="000D4A0C" w:rsidRDefault="007917EF" w:rsidP="004C085F">
      <w:pPr>
        <w:pStyle w:val="Cabinetpaperparasubheading"/>
      </w:pPr>
      <w:r w:rsidRPr="000D4A0C">
        <w:t xml:space="preserve">Funding </w:t>
      </w:r>
      <w:r w:rsidR="00B76C94" w:rsidRPr="000D4A0C">
        <w:t xml:space="preserve">from </w:t>
      </w:r>
      <w:r w:rsidRPr="000D4A0C">
        <w:t xml:space="preserve">across all modes of gambling </w:t>
      </w:r>
      <w:r w:rsidR="00A23D79" w:rsidRPr="000D4A0C">
        <w:t xml:space="preserve">combined </w:t>
      </w:r>
      <w:r w:rsidRPr="000D4A0C">
        <w:t>has been relatively stable from 2004</w:t>
      </w:r>
      <w:r w:rsidR="0018177A" w:rsidRPr="000D4A0C">
        <w:t xml:space="preserve"> to the </w:t>
      </w:r>
      <w:r w:rsidRPr="000D4A0C">
        <w:t>present</w:t>
      </w:r>
    </w:p>
    <w:p w:rsidR="00352880" w:rsidRPr="000D4A0C" w:rsidRDefault="0018177A" w:rsidP="004C085F">
      <w:pPr>
        <w:pStyle w:val="Numberedpara3level1"/>
      </w:pPr>
      <w:r w:rsidRPr="000D4A0C">
        <w:t>T</w:t>
      </w:r>
      <w:r w:rsidR="00352880" w:rsidRPr="000D4A0C">
        <w:t xml:space="preserve">otal distributions to communities from </w:t>
      </w:r>
      <w:r w:rsidR="000761DF" w:rsidRPr="000D4A0C">
        <w:t>the</w:t>
      </w:r>
      <w:r w:rsidR="00352880" w:rsidRPr="000D4A0C">
        <w:t xml:space="preserve"> key modes of gambling </w:t>
      </w:r>
      <w:r w:rsidR="00E67C7C" w:rsidRPr="000D4A0C">
        <w:t xml:space="preserve">(excluding casinos) </w:t>
      </w:r>
      <w:r w:rsidR="00352880" w:rsidRPr="000D4A0C">
        <w:t xml:space="preserve">reduced by only three per cent </w:t>
      </w:r>
      <w:r w:rsidR="007917EF" w:rsidRPr="000D4A0C">
        <w:t xml:space="preserve">over </w:t>
      </w:r>
      <w:r w:rsidR="00F41AB2" w:rsidRPr="000D4A0C">
        <w:t>2004 - 2015</w:t>
      </w:r>
      <w:r w:rsidR="007917EF" w:rsidRPr="000D4A0C">
        <w:t xml:space="preserve"> </w:t>
      </w:r>
      <w:r w:rsidR="006F2E87" w:rsidRPr="000D4A0C">
        <w:t xml:space="preserve">in real terms </w:t>
      </w:r>
      <w:r w:rsidR="00352880" w:rsidRPr="000D4A0C">
        <w:t>(from $619 million to $603 million</w:t>
      </w:r>
      <w:r w:rsidR="000579BD">
        <w:rPr>
          <w:rStyle w:val="FootnoteReference"/>
        </w:rPr>
        <w:footnoteReference w:id="4"/>
      </w:r>
      <w:r w:rsidR="00352880" w:rsidRPr="000D4A0C">
        <w:t xml:space="preserve">). </w:t>
      </w:r>
      <w:r w:rsidR="00017822" w:rsidRPr="000D4A0C">
        <w:t>T</w:t>
      </w:r>
      <w:r w:rsidR="00352880" w:rsidRPr="000D4A0C">
        <w:t xml:space="preserve">his was because distributions from </w:t>
      </w:r>
      <w:r w:rsidR="000761DF" w:rsidRPr="000D4A0C">
        <w:t>the Lottery Grants Board and New Zealand Racing Board</w:t>
      </w:r>
      <w:r w:rsidR="00352880" w:rsidRPr="000D4A0C">
        <w:t xml:space="preserve"> increased over the period</w:t>
      </w:r>
      <w:r w:rsidR="00F41AB2" w:rsidRPr="000D4A0C">
        <w:t>.</w:t>
      </w:r>
    </w:p>
    <w:p w:rsidR="000D75CD" w:rsidRPr="000D4A0C" w:rsidRDefault="000D75CD" w:rsidP="004C085F">
      <w:pPr>
        <w:pStyle w:val="Cabinetpaperparasubheading"/>
      </w:pPr>
      <w:r w:rsidRPr="000D4A0C">
        <w:t>Other key trends</w:t>
      </w:r>
    </w:p>
    <w:p w:rsidR="007917EF" w:rsidRPr="000D4A0C" w:rsidRDefault="007917EF" w:rsidP="004C085F">
      <w:pPr>
        <w:pStyle w:val="Numberedpara3level1"/>
      </w:pPr>
      <w:r w:rsidRPr="000D4A0C">
        <w:t xml:space="preserve">The </w:t>
      </w:r>
      <w:r w:rsidR="00017822" w:rsidRPr="000D4A0C">
        <w:t xml:space="preserve">class 4 </w:t>
      </w:r>
      <w:r w:rsidRPr="000D4A0C">
        <w:t xml:space="preserve">sector has undergone change and rationalisation since the </w:t>
      </w:r>
      <w:r w:rsidR="0048343F" w:rsidRPr="000D4A0C">
        <w:t>passing</w:t>
      </w:r>
      <w:r w:rsidRPr="000D4A0C">
        <w:t xml:space="preserve"> of the Gambling Act </w:t>
      </w:r>
      <w:r w:rsidR="0048343F" w:rsidRPr="000D4A0C">
        <w:t xml:space="preserve">in </w:t>
      </w:r>
      <w:r w:rsidRPr="000D4A0C">
        <w:t>2003</w:t>
      </w:r>
      <w:r w:rsidR="00017822" w:rsidRPr="000D4A0C">
        <w:t xml:space="preserve"> and is now considered more stable and mature</w:t>
      </w:r>
      <w:r w:rsidR="000D75CD" w:rsidRPr="000D4A0C">
        <w:t>. T</w:t>
      </w:r>
      <w:r w:rsidRPr="000D4A0C">
        <w:t>he number of non-club societies has reduced from 107 in 2004, to 3</w:t>
      </w:r>
      <w:r w:rsidR="00F41AB2" w:rsidRPr="000D4A0C">
        <w:t>8</w:t>
      </w:r>
      <w:r w:rsidRPr="000D4A0C">
        <w:t xml:space="preserve"> as at 31 December 2015</w:t>
      </w:r>
      <w:r w:rsidR="000D75CD" w:rsidRPr="000D4A0C">
        <w:t>, and t</w:t>
      </w:r>
      <w:r w:rsidRPr="000D4A0C">
        <w:t xml:space="preserve">here </w:t>
      </w:r>
      <w:r w:rsidR="000D75CD" w:rsidRPr="000D4A0C">
        <w:t>ha</w:t>
      </w:r>
      <w:r w:rsidR="00017822" w:rsidRPr="000D4A0C">
        <w:t xml:space="preserve">ve been fewer </w:t>
      </w:r>
      <w:r w:rsidRPr="000D4A0C">
        <w:t xml:space="preserve">societies </w:t>
      </w:r>
      <w:r w:rsidR="00017822" w:rsidRPr="000D4A0C">
        <w:t xml:space="preserve">entering or exiting </w:t>
      </w:r>
      <w:r w:rsidRPr="000D4A0C">
        <w:t>the sector in recent years</w:t>
      </w:r>
      <w:r w:rsidR="000D75CD" w:rsidRPr="000D4A0C">
        <w:t xml:space="preserve">. </w:t>
      </w:r>
    </w:p>
    <w:p w:rsidR="007917EF" w:rsidRPr="000D4A0C" w:rsidRDefault="00B76C94" w:rsidP="004C085F">
      <w:pPr>
        <w:pStyle w:val="Numberedpara3level1"/>
      </w:pPr>
      <w:r w:rsidRPr="000D4A0C">
        <w:t>An</w:t>
      </w:r>
      <w:r w:rsidR="007917EF" w:rsidRPr="000D4A0C">
        <w:t xml:space="preserve"> overall trend of declining class 4 venues and gaming machines is continuing, but there are now more venues </w:t>
      </w:r>
      <w:r w:rsidRPr="000D4A0C">
        <w:t xml:space="preserve">contracted </w:t>
      </w:r>
      <w:r w:rsidR="007917EF" w:rsidRPr="000D4A0C">
        <w:t>per society, more gaming machines per venue and higher average expenditure per machine. From 2004 to 2014, the average number of venues per society increased from 16 to 24 and the number of machines per venue from 11 to 13. After being stable in recent years, the average dollar return per venue and machine increased significantly in 2015.</w:t>
      </w:r>
      <w:r w:rsidR="00017822" w:rsidRPr="000D4A0C">
        <w:t xml:space="preserve"> </w:t>
      </w:r>
      <w:r w:rsidR="0048343F" w:rsidRPr="000D4A0C">
        <w:t>This indicates that the sector is now operating more efficiently.</w:t>
      </w:r>
    </w:p>
    <w:p w:rsidR="0018177A" w:rsidRPr="000D4A0C" w:rsidRDefault="0018177A" w:rsidP="004C085F">
      <w:pPr>
        <w:pStyle w:val="Numberedpara3level1"/>
      </w:pPr>
      <w:r w:rsidRPr="000D4A0C">
        <w:t xml:space="preserve">Despite fluctuating trends in expenditure and other key </w:t>
      </w:r>
      <w:r w:rsidR="006F2E87" w:rsidRPr="000D4A0C">
        <w:t>trends in recent years</w:t>
      </w:r>
      <w:r w:rsidRPr="000D4A0C">
        <w:t xml:space="preserve">, there </w:t>
      </w:r>
      <w:r w:rsidR="00A4039D" w:rsidRPr="000D4A0C">
        <w:t>has</w:t>
      </w:r>
      <w:r w:rsidRPr="000D4A0C">
        <w:t xml:space="preserve"> been minimal effect on rates of gambling </w:t>
      </w:r>
      <w:r w:rsidR="006F2E87" w:rsidRPr="000D4A0C">
        <w:t xml:space="preserve">harm </w:t>
      </w:r>
      <w:r w:rsidRPr="000D4A0C">
        <w:t>ass</w:t>
      </w:r>
      <w:r w:rsidR="00A4039D" w:rsidRPr="000D4A0C">
        <w:t>ociated</w:t>
      </w:r>
      <w:r w:rsidRPr="000D4A0C">
        <w:t xml:space="preserve"> with gaming m</w:t>
      </w:r>
      <w:r w:rsidR="00A4039D" w:rsidRPr="000D4A0C">
        <w:t>a</w:t>
      </w:r>
      <w:r w:rsidRPr="000D4A0C">
        <w:t xml:space="preserve">chines. </w:t>
      </w:r>
      <w:r w:rsidR="00A4039D" w:rsidRPr="000D4A0C">
        <w:t xml:space="preserve">The proportion of class 4 gamblers who are considered moderate-risk or problem gamblers </w:t>
      </w:r>
      <w:r w:rsidR="006F2E87" w:rsidRPr="000D4A0C">
        <w:t xml:space="preserve">reduced throughout the 1990s and </w:t>
      </w:r>
      <w:r w:rsidR="00A4039D" w:rsidRPr="000D4A0C">
        <w:t xml:space="preserve">has remained </w:t>
      </w:r>
      <w:r w:rsidR="006F2E87" w:rsidRPr="000D4A0C">
        <w:t>rel</w:t>
      </w:r>
      <w:r w:rsidR="006536D0" w:rsidRPr="000D4A0C">
        <w:t>a</w:t>
      </w:r>
      <w:r w:rsidR="006F2E87" w:rsidRPr="000D4A0C">
        <w:t>tive</w:t>
      </w:r>
      <w:r w:rsidR="006536D0" w:rsidRPr="000D4A0C">
        <w:t>l</w:t>
      </w:r>
      <w:r w:rsidR="006F2E87" w:rsidRPr="000D4A0C">
        <w:t xml:space="preserve">y </w:t>
      </w:r>
      <w:r w:rsidR="00A4039D" w:rsidRPr="000D4A0C">
        <w:t xml:space="preserve">static </w:t>
      </w:r>
      <w:r w:rsidR="006F2E87" w:rsidRPr="000D4A0C">
        <w:t xml:space="preserve">since. However, </w:t>
      </w:r>
      <w:r w:rsidR="00A4039D" w:rsidRPr="000D4A0C">
        <w:t>it appears that a small ‘core’ of at-risk gamblers exists and accounts for a disproportionate level of expenditure irrespective of wider trends.</w:t>
      </w:r>
    </w:p>
    <w:p w:rsidR="000D75CD" w:rsidRPr="000D4A0C" w:rsidRDefault="000D75CD" w:rsidP="004C085F">
      <w:pPr>
        <w:pStyle w:val="Cabinetpaperparasubheading"/>
      </w:pPr>
      <w:r w:rsidRPr="000D4A0C">
        <w:t>Further regulatory changes are still to be implemented</w:t>
      </w:r>
    </w:p>
    <w:p w:rsidR="000D75CD" w:rsidRPr="000D4A0C" w:rsidRDefault="000D75CD" w:rsidP="004C085F">
      <w:pPr>
        <w:pStyle w:val="Numberedpara3level1"/>
      </w:pPr>
      <w:r w:rsidRPr="000D4A0C">
        <w:t xml:space="preserve">A number of recent </w:t>
      </w:r>
      <w:r w:rsidR="00017822" w:rsidRPr="000D4A0C">
        <w:t>amendments</w:t>
      </w:r>
      <w:r w:rsidRPr="000D4A0C">
        <w:t xml:space="preserve"> to the Gambling Act</w:t>
      </w:r>
      <w:r w:rsidR="00D32293">
        <w:t>, new licence and compliance fees</w:t>
      </w:r>
      <w:r w:rsidRPr="000D4A0C">
        <w:t xml:space="preserve"> and pending changes </w:t>
      </w:r>
      <w:r w:rsidR="00A23D79" w:rsidRPr="000D4A0C">
        <w:t xml:space="preserve">to regulations </w:t>
      </w:r>
      <w:r w:rsidRPr="000D4A0C">
        <w:t>will have impacts on the sector</w:t>
      </w:r>
      <w:r w:rsidR="00F14499" w:rsidRPr="000D4A0C">
        <w:t xml:space="preserve"> in the </w:t>
      </w:r>
      <w:r w:rsidR="00A23D79" w:rsidRPr="000D4A0C">
        <w:t>near future</w:t>
      </w:r>
      <w:r w:rsidRPr="000D4A0C">
        <w:t>. For example, new measures contained in the Gambling Amendment Act 2015 and the Gambling Amendment Act (No 2) 2015 will be implemented in 2016 and include:</w:t>
      </w:r>
    </w:p>
    <w:p w:rsidR="000D75CD" w:rsidRPr="000D4A0C" w:rsidRDefault="00017822" w:rsidP="000711F1">
      <w:pPr>
        <w:pStyle w:val="Numberedpara3level211"/>
      </w:pPr>
      <w:r w:rsidRPr="000D4A0C">
        <w:t xml:space="preserve">the introduction of </w:t>
      </w:r>
      <w:r w:rsidR="000D75CD" w:rsidRPr="000D4A0C">
        <w:t>a simpler venue payment regime</w:t>
      </w:r>
      <w:r w:rsidR="00F14499" w:rsidRPr="000D4A0C">
        <w:t xml:space="preserve"> (which should reduce compliance costs for the regulator, societies and venues)</w:t>
      </w:r>
      <w:r w:rsidR="006E69CE">
        <w:t>;</w:t>
      </w:r>
    </w:p>
    <w:p w:rsidR="000D75CD" w:rsidRPr="000D4A0C" w:rsidRDefault="00F14499" w:rsidP="000711F1">
      <w:pPr>
        <w:pStyle w:val="Numberedpara3level211"/>
      </w:pPr>
      <w:r w:rsidRPr="000D4A0C">
        <w:lastRenderedPageBreak/>
        <w:t xml:space="preserve">potential changes to the minimum </w:t>
      </w:r>
      <w:r w:rsidR="000D75CD" w:rsidRPr="000D4A0C">
        <w:t xml:space="preserve">rate of return </w:t>
      </w:r>
      <w:r w:rsidRPr="000D4A0C">
        <w:t>regulations, in response to the recent rise in sector fees</w:t>
      </w:r>
      <w:r w:rsidR="006E69CE">
        <w:t>;</w:t>
      </w:r>
    </w:p>
    <w:p w:rsidR="000D75CD" w:rsidRPr="000D4A0C" w:rsidRDefault="000D75CD" w:rsidP="000711F1">
      <w:pPr>
        <w:pStyle w:val="Numberedpara3level211"/>
      </w:pPr>
      <w:r w:rsidRPr="000D4A0C">
        <w:t>standardisation of financial reporting and improvements in the publication of grant information</w:t>
      </w:r>
      <w:r w:rsidR="006E69CE">
        <w:t>; and</w:t>
      </w:r>
    </w:p>
    <w:p w:rsidR="000D75CD" w:rsidRPr="000D4A0C" w:rsidRDefault="000D75CD" w:rsidP="000711F1">
      <w:pPr>
        <w:pStyle w:val="Numberedpara3level211"/>
      </w:pPr>
      <w:r w:rsidRPr="000D4A0C">
        <w:t xml:space="preserve">other </w:t>
      </w:r>
      <w:r w:rsidR="00F14499" w:rsidRPr="000D4A0C">
        <w:t>non-regulatory initiatives underway</w:t>
      </w:r>
      <w:r w:rsidR="00B76C94" w:rsidRPr="000D4A0C">
        <w:t>,</w:t>
      </w:r>
      <w:r w:rsidR="00F14499" w:rsidRPr="000D4A0C">
        <w:t xml:space="preserve"> includ</w:t>
      </w:r>
      <w:r w:rsidR="00B76C94" w:rsidRPr="000D4A0C">
        <w:t>ing</w:t>
      </w:r>
      <w:r w:rsidR="00F14499" w:rsidRPr="000D4A0C">
        <w:t xml:space="preserve"> work to</w:t>
      </w:r>
      <w:r w:rsidRPr="000D4A0C">
        <w:t xml:space="preserve"> </w:t>
      </w:r>
      <w:r w:rsidR="00017822" w:rsidRPr="000D4A0C">
        <w:t>strengthen the licensing requirement for new societies</w:t>
      </w:r>
      <w:r w:rsidRPr="000D4A0C">
        <w:t xml:space="preserve">, </w:t>
      </w:r>
      <w:r w:rsidR="00F14499" w:rsidRPr="000D4A0C">
        <w:t xml:space="preserve">the </w:t>
      </w:r>
      <w:r w:rsidRPr="000D4A0C">
        <w:t xml:space="preserve">capacity to audit management companies, and </w:t>
      </w:r>
      <w:r w:rsidR="00F14499" w:rsidRPr="000D4A0C">
        <w:t xml:space="preserve">potential for </w:t>
      </w:r>
      <w:r w:rsidRPr="000D4A0C">
        <w:t xml:space="preserve">lower regulatory oversight </w:t>
      </w:r>
      <w:r w:rsidR="00F14499" w:rsidRPr="000D4A0C">
        <w:t xml:space="preserve">around </w:t>
      </w:r>
      <w:r w:rsidRPr="000D4A0C">
        <w:t>highly trusted</w:t>
      </w:r>
      <w:r w:rsidR="00F14499" w:rsidRPr="000D4A0C">
        <w:t xml:space="preserve"> operators (</w:t>
      </w:r>
      <w:r w:rsidRPr="000D4A0C">
        <w:t>such as through the use of thr</w:t>
      </w:r>
      <w:r w:rsidR="00F14499" w:rsidRPr="000D4A0C">
        <w:t>e</w:t>
      </w:r>
      <w:r w:rsidRPr="000D4A0C">
        <w:t>e-year licences</w:t>
      </w:r>
      <w:r w:rsidR="00F14499" w:rsidRPr="000D4A0C">
        <w:t>)</w:t>
      </w:r>
      <w:r w:rsidRPr="000D4A0C">
        <w:t>.</w:t>
      </w:r>
    </w:p>
    <w:p w:rsidR="000D75CD" w:rsidRPr="000D4A0C" w:rsidRDefault="00D32293" w:rsidP="000711F1">
      <w:pPr>
        <w:pStyle w:val="Numberedpara3level1"/>
      </w:pPr>
      <w:r>
        <w:t>The n</w:t>
      </w:r>
      <w:r w:rsidR="000D75CD" w:rsidRPr="000D4A0C">
        <w:t xml:space="preserve">ew gambling licence and compliance fees came into effect on 1 February 2016. </w:t>
      </w:r>
      <w:r>
        <w:t>While they</w:t>
      </w:r>
      <w:r w:rsidR="0060739F">
        <w:t xml:space="preserve"> aim to cover the Department’s annual costs of regulation and reduce the deficit in the memorandum account, the ability of societies to adapt</w:t>
      </w:r>
      <w:r w:rsidR="003E2614">
        <w:t xml:space="preserve"> will vary</w:t>
      </w:r>
      <w:r w:rsidR="0060739F">
        <w:t xml:space="preserve">. </w:t>
      </w:r>
      <w:r w:rsidR="000D75CD" w:rsidRPr="000D4A0C">
        <w:t xml:space="preserve">In addition, new Class 4 Game Rules </w:t>
      </w:r>
      <w:r w:rsidR="00C62D63" w:rsidRPr="000D4A0C">
        <w:t>that streamline and simplify the requirements for the day-to-day operation of</w:t>
      </w:r>
      <w:r w:rsidR="000D75CD" w:rsidRPr="000D4A0C">
        <w:t xml:space="preserve"> class 4 gambling c</w:t>
      </w:r>
      <w:r w:rsidR="000573FE" w:rsidRPr="000D4A0C">
        <w:t>a</w:t>
      </w:r>
      <w:r w:rsidR="000D75CD" w:rsidRPr="000D4A0C">
        <w:t>me into effect on 7 March 2016.</w:t>
      </w:r>
      <w:r w:rsidR="00F14499" w:rsidRPr="000D4A0C">
        <w:t xml:space="preserve"> </w:t>
      </w:r>
      <w:r w:rsidR="000D75CD" w:rsidRPr="000D4A0C">
        <w:t>The extent of the combined impacts of these changes may not be apparent for up to two years.</w:t>
      </w:r>
      <w:r w:rsidR="00F14499" w:rsidRPr="000D4A0C">
        <w:t xml:space="preserve"> </w:t>
      </w:r>
    </w:p>
    <w:p w:rsidR="00E879EB" w:rsidRPr="000D4A0C" w:rsidRDefault="007B18D4" w:rsidP="000711F1">
      <w:pPr>
        <w:pStyle w:val="Cabinetpaperparaheading"/>
      </w:pPr>
      <w:r w:rsidRPr="000D4A0C">
        <w:t>Reasons for t</w:t>
      </w:r>
      <w:r w:rsidR="008D09B4" w:rsidRPr="000D4A0C">
        <w:t>rends in gambling expenditure</w:t>
      </w:r>
      <w:r w:rsidRPr="000D4A0C">
        <w:t>,</w:t>
      </w:r>
      <w:r w:rsidR="008D09B4" w:rsidRPr="000D4A0C">
        <w:t xml:space="preserve"> return</w:t>
      </w:r>
      <w:r w:rsidRPr="000D4A0C">
        <w:t>s</w:t>
      </w:r>
      <w:r w:rsidR="008D09B4" w:rsidRPr="000D4A0C">
        <w:t xml:space="preserve"> to communities</w:t>
      </w:r>
      <w:r w:rsidRPr="000D4A0C">
        <w:t xml:space="preserve"> and other indicators</w:t>
      </w:r>
    </w:p>
    <w:p w:rsidR="00A35C26" w:rsidRPr="000D4A0C" w:rsidRDefault="00A35C26" w:rsidP="000711F1">
      <w:pPr>
        <w:pStyle w:val="Numberedpara3level1"/>
      </w:pPr>
      <w:r w:rsidRPr="000D4A0C">
        <w:t>The main drivers for the significant decline in class 4 expenditure between 2004 and 2010 were:</w:t>
      </w:r>
    </w:p>
    <w:p w:rsidR="00A35C26" w:rsidRPr="000D4A0C" w:rsidRDefault="00A35C26" w:rsidP="000711F1">
      <w:pPr>
        <w:pStyle w:val="Numberedpara3level211"/>
      </w:pPr>
      <w:r w:rsidRPr="000D4A0C">
        <w:t>the impact of the Gambling Act, which introduced major regulatory change and enhanced compliance and enforcement activity by the Department</w:t>
      </w:r>
      <w:r w:rsidR="009F7365" w:rsidRPr="000D4A0C">
        <w:t>;</w:t>
      </w:r>
      <w:r w:rsidR="00F14499" w:rsidRPr="000D4A0C">
        <w:t xml:space="preserve"> </w:t>
      </w:r>
    </w:p>
    <w:p w:rsidR="00A35C26" w:rsidRPr="000D4A0C" w:rsidRDefault="00A35C26" w:rsidP="000711F1">
      <w:pPr>
        <w:pStyle w:val="Numberedpara3level211"/>
      </w:pPr>
      <w:r w:rsidRPr="000D4A0C">
        <w:t>the general economic environment (including the impact of the global financial crisis)</w:t>
      </w:r>
      <w:r w:rsidR="009F7365" w:rsidRPr="000D4A0C">
        <w:t>; and</w:t>
      </w:r>
    </w:p>
    <w:p w:rsidR="00A35C26" w:rsidRPr="000D4A0C" w:rsidRDefault="00A35C26" w:rsidP="000711F1">
      <w:pPr>
        <w:pStyle w:val="Numberedpara3level211"/>
      </w:pPr>
      <w:r w:rsidRPr="000D4A0C">
        <w:t>a correction to an ‘oversupply’ of gaming machines</w:t>
      </w:r>
      <w:r w:rsidR="008D34A5" w:rsidRPr="000D4A0C">
        <w:t xml:space="preserve">: rapid expansion of the sector in the 1990s and early 2000s </w:t>
      </w:r>
      <w:r w:rsidR="0048343F" w:rsidRPr="000D4A0C">
        <w:t xml:space="preserve">caused significant unease in many communities, and </w:t>
      </w:r>
      <w:r w:rsidR="008D34A5" w:rsidRPr="000D4A0C">
        <w:t>was considered undesirable</w:t>
      </w:r>
      <w:r w:rsidR="0048343F" w:rsidRPr="000D4A0C">
        <w:t xml:space="preserve"> due to the high harm potential</w:t>
      </w:r>
      <w:r w:rsidR="009F7365" w:rsidRPr="000D4A0C">
        <w:t>.</w:t>
      </w:r>
      <w:r w:rsidR="008D34A5" w:rsidRPr="000D4A0C">
        <w:t xml:space="preserve"> </w:t>
      </w:r>
    </w:p>
    <w:p w:rsidR="00A35C26" w:rsidRPr="000D4A0C" w:rsidRDefault="00A35C26" w:rsidP="000711F1">
      <w:pPr>
        <w:pStyle w:val="Numberedpara3level1"/>
      </w:pPr>
      <w:r w:rsidRPr="000D4A0C">
        <w:t>Other environmental factors, such as changing consumer preferences and behaviours, changing attitudes to class 4 gambling and competition from other gambling modes</w:t>
      </w:r>
      <w:r w:rsidR="00E87246" w:rsidRPr="000D4A0C">
        <w:t>, may have contributed to th</w:t>
      </w:r>
      <w:r w:rsidR="00B76C94" w:rsidRPr="000D4A0C">
        <w:t>ese</w:t>
      </w:r>
      <w:r w:rsidR="00E87246" w:rsidRPr="000D4A0C">
        <w:t xml:space="preserve"> trend</w:t>
      </w:r>
      <w:r w:rsidR="00B76C94" w:rsidRPr="000D4A0C">
        <w:t>s</w:t>
      </w:r>
      <w:r w:rsidRPr="000D4A0C">
        <w:t>.</w:t>
      </w:r>
      <w:r w:rsidR="00F14499" w:rsidRPr="000D4A0C">
        <w:t xml:space="preserve"> </w:t>
      </w:r>
    </w:p>
    <w:p w:rsidR="008D34A5" w:rsidRPr="000D4A0C" w:rsidRDefault="00F14499" w:rsidP="000711F1">
      <w:pPr>
        <w:pStyle w:val="Numberedpara3level1"/>
      </w:pPr>
      <w:r w:rsidRPr="000D4A0C">
        <w:t>In addition, the Department considers</w:t>
      </w:r>
      <w:r w:rsidR="008D34A5" w:rsidRPr="000D4A0C">
        <w:t xml:space="preserve"> the ability of territorial authorities to develop class 4 venue policies t</w:t>
      </w:r>
      <w:r w:rsidR="00E87246" w:rsidRPr="000D4A0C">
        <w:t>hat</w:t>
      </w:r>
      <w:r w:rsidR="008D34A5" w:rsidRPr="000D4A0C">
        <w:t xml:space="preserve"> limit the numbers of venues and machine numbers in their jurisdictions has likely had some impact on the market</w:t>
      </w:r>
      <w:r w:rsidR="00406D21" w:rsidRPr="000D4A0C">
        <w:t>.</w:t>
      </w:r>
    </w:p>
    <w:p w:rsidR="00964C40" w:rsidRPr="000D4A0C" w:rsidRDefault="00964C40" w:rsidP="000711F1">
      <w:pPr>
        <w:pStyle w:val="Numberedpara3level1"/>
      </w:pPr>
      <w:r w:rsidRPr="000D4A0C">
        <w:t xml:space="preserve">The stabilisation of class 4 expenditure </w:t>
      </w:r>
      <w:r w:rsidR="00E16330" w:rsidRPr="000D4A0C">
        <w:t xml:space="preserve">since 2011 </w:t>
      </w:r>
      <w:r w:rsidRPr="000D4A0C">
        <w:t xml:space="preserve">and </w:t>
      </w:r>
      <w:r w:rsidR="00E16330" w:rsidRPr="000D4A0C">
        <w:t xml:space="preserve">subsequent </w:t>
      </w:r>
      <w:r w:rsidRPr="000D4A0C">
        <w:t>recent growth is likely associated with a combination of factors, including:</w:t>
      </w:r>
    </w:p>
    <w:p w:rsidR="006735AC" w:rsidRPr="000D4A0C" w:rsidRDefault="00964C40" w:rsidP="000711F1">
      <w:pPr>
        <w:pStyle w:val="Numberedpara3level211"/>
      </w:pPr>
      <w:r w:rsidRPr="000D4A0C">
        <w:t>improved economic conditions</w:t>
      </w:r>
      <w:r w:rsidR="006E69CE">
        <w:t>;</w:t>
      </w:r>
    </w:p>
    <w:p w:rsidR="00964C40" w:rsidRPr="000D4A0C" w:rsidRDefault="00E16330" w:rsidP="000711F1">
      <w:pPr>
        <w:pStyle w:val="Numberedpara3level211"/>
      </w:pPr>
      <w:r w:rsidRPr="000D4A0C">
        <w:t>an overall increase in population, impacting on levels of expenditure in particular locations such as Auckland, Waikato and Bay of Plenty</w:t>
      </w:r>
      <w:r w:rsidR="006E69CE">
        <w:t>; and</w:t>
      </w:r>
    </w:p>
    <w:p w:rsidR="00E16330" w:rsidRPr="000D4A0C" w:rsidRDefault="0048343F" w:rsidP="000711F1">
      <w:pPr>
        <w:pStyle w:val="Numberedpara3level211"/>
      </w:pPr>
      <w:r w:rsidRPr="000D4A0C">
        <w:t xml:space="preserve">the </w:t>
      </w:r>
      <w:r w:rsidR="00E16330" w:rsidRPr="000D4A0C">
        <w:t>efficiency gains made by societies</w:t>
      </w:r>
      <w:r w:rsidRPr="000D4A0C">
        <w:t>, as discussed above.</w:t>
      </w:r>
    </w:p>
    <w:p w:rsidR="006735AC" w:rsidRPr="000D4A0C" w:rsidRDefault="006F2B80" w:rsidP="000711F1">
      <w:pPr>
        <w:pStyle w:val="Numberedpara3level1"/>
      </w:pPr>
      <w:r w:rsidRPr="000D4A0C">
        <w:t xml:space="preserve">There has been a trend toward a small number of </w:t>
      </w:r>
      <w:r w:rsidR="0048249C" w:rsidRPr="000D4A0C">
        <w:t xml:space="preserve">large (non-club) societies </w:t>
      </w:r>
      <w:r w:rsidRPr="000D4A0C">
        <w:t xml:space="preserve">holding an increasing share of </w:t>
      </w:r>
      <w:r w:rsidR="0048249C" w:rsidRPr="000D4A0C">
        <w:t>the market</w:t>
      </w:r>
      <w:r w:rsidRPr="000D4A0C">
        <w:t xml:space="preserve"> – each </w:t>
      </w:r>
      <w:r w:rsidR="00981045" w:rsidRPr="000D4A0C">
        <w:t xml:space="preserve">operating </w:t>
      </w:r>
      <w:r w:rsidRPr="000D4A0C">
        <w:t xml:space="preserve">a large number of </w:t>
      </w:r>
      <w:r w:rsidR="00981045" w:rsidRPr="000D4A0C">
        <w:t>venues</w:t>
      </w:r>
      <w:r w:rsidRPr="000D4A0C">
        <w:t>.</w:t>
      </w:r>
      <w:r w:rsidR="00981045" w:rsidRPr="000D4A0C">
        <w:t xml:space="preserve"> The average return</w:t>
      </w:r>
      <w:r w:rsidR="00B76C94" w:rsidRPr="000D4A0C">
        <w:t>s</w:t>
      </w:r>
      <w:r w:rsidR="00981045" w:rsidRPr="000D4A0C">
        <w:t xml:space="preserve"> by venue and by machine </w:t>
      </w:r>
      <w:r w:rsidR="00B76C94" w:rsidRPr="000D4A0C">
        <w:t xml:space="preserve">have </w:t>
      </w:r>
      <w:r w:rsidR="00981045" w:rsidRPr="000D4A0C">
        <w:t>increas</w:t>
      </w:r>
      <w:r w:rsidR="00B76C94" w:rsidRPr="000D4A0C">
        <w:t>ed in line with this consolidation</w:t>
      </w:r>
      <w:r w:rsidRPr="000D4A0C">
        <w:t>.</w:t>
      </w:r>
    </w:p>
    <w:p w:rsidR="003B492E" w:rsidRPr="000D4A0C" w:rsidRDefault="00C62D63" w:rsidP="000711F1">
      <w:pPr>
        <w:pStyle w:val="Cabinetpaperparaheading"/>
      </w:pPr>
      <w:r w:rsidRPr="000D4A0C">
        <w:lastRenderedPageBreak/>
        <w:t>Structural inefficiencies translate to a</w:t>
      </w:r>
      <w:r w:rsidR="003B492E" w:rsidRPr="000D4A0C">
        <w:t xml:space="preserve"> </w:t>
      </w:r>
      <w:r w:rsidR="008D09B4" w:rsidRPr="000D4A0C">
        <w:t xml:space="preserve">high-cost and </w:t>
      </w:r>
      <w:r w:rsidR="003B492E" w:rsidRPr="000D4A0C">
        <w:t>complex regulatory regime</w:t>
      </w:r>
    </w:p>
    <w:p w:rsidR="00D07537" w:rsidRPr="000D4A0C" w:rsidRDefault="006735AC" w:rsidP="000711F1">
      <w:pPr>
        <w:pStyle w:val="Numberedpara3level1"/>
      </w:pPr>
      <w:r w:rsidRPr="000D4A0C">
        <w:t xml:space="preserve">Class 4 gambling has high risk features that need to be carefully managed from a regulatory design perspective. It is an $800 million cash-based industry and is associated with higher </w:t>
      </w:r>
      <w:r w:rsidR="006F2E87" w:rsidRPr="000D4A0C">
        <w:t>rates of harm</w:t>
      </w:r>
      <w:r w:rsidRPr="000D4A0C">
        <w:t xml:space="preserve"> than other forms of gambling. </w:t>
      </w:r>
      <w:r w:rsidR="003B492E" w:rsidRPr="000D4A0C">
        <w:t>K</w:t>
      </w:r>
      <w:r w:rsidR="004D5441" w:rsidRPr="000D4A0C">
        <w:t>ey features lead</w:t>
      </w:r>
      <w:r w:rsidRPr="000D4A0C">
        <w:t>ing</w:t>
      </w:r>
      <w:r w:rsidR="004D5441" w:rsidRPr="000D4A0C">
        <w:t xml:space="preserve"> to a high cost regulatory system</w:t>
      </w:r>
      <w:r w:rsidR="003B492E" w:rsidRPr="000D4A0C">
        <w:t xml:space="preserve"> include</w:t>
      </w:r>
      <w:r w:rsidR="004D5441" w:rsidRPr="000D4A0C">
        <w:t>:</w:t>
      </w:r>
    </w:p>
    <w:p w:rsidR="006F2B80" w:rsidRPr="000D4A0C" w:rsidRDefault="006F2B80" w:rsidP="000711F1">
      <w:pPr>
        <w:pStyle w:val="Numberedpara3level211"/>
      </w:pPr>
      <w:r w:rsidRPr="000D4A0C">
        <w:t xml:space="preserve">relatively </w:t>
      </w:r>
      <w:r w:rsidR="00B76C94" w:rsidRPr="000D4A0C">
        <w:t>open</w:t>
      </w:r>
      <w:r w:rsidRPr="000D4A0C">
        <w:t xml:space="preserve"> entry to the sector (subject to the licensing requirement</w:t>
      </w:r>
      <w:r w:rsidR="00B76C94" w:rsidRPr="000D4A0C">
        <w:t>s</w:t>
      </w:r>
      <w:r w:rsidRPr="000D4A0C">
        <w:t xml:space="preserve"> of the Department). This has the advantage of enabling societies to be formed at the “grass roots” level around narrow and specific funding objectives, but it means significant regulatory oversight is required to keep track of 3</w:t>
      </w:r>
      <w:r w:rsidR="00F41AB2" w:rsidRPr="000D4A0C">
        <w:t>8</w:t>
      </w:r>
      <w:r w:rsidRPr="000D4A0C">
        <w:t xml:space="preserve"> societies.</w:t>
      </w:r>
      <w:r w:rsidR="00E419FA" w:rsidRPr="000D4A0C">
        <w:t xml:space="preserve"> It also means that the running costs of 3</w:t>
      </w:r>
      <w:r w:rsidR="00F41AB2" w:rsidRPr="000D4A0C">
        <w:t>8</w:t>
      </w:r>
      <w:r w:rsidR="00E419FA" w:rsidRPr="000D4A0C">
        <w:t xml:space="preserve"> societies are deducted from the overall pool of money available to communities</w:t>
      </w:r>
      <w:r w:rsidR="006E69CE">
        <w:t>;</w:t>
      </w:r>
    </w:p>
    <w:p w:rsidR="004D5441" w:rsidRPr="000D4A0C" w:rsidRDefault="00E419FA" w:rsidP="000711F1">
      <w:pPr>
        <w:pStyle w:val="Numberedpara3level211"/>
      </w:pPr>
      <w:r w:rsidRPr="000D4A0C">
        <w:t>t</w:t>
      </w:r>
      <w:r w:rsidR="004D5441" w:rsidRPr="000D4A0C">
        <w:t>he relationship between commercial venues and not-for-profit societies</w:t>
      </w:r>
      <w:r w:rsidR="006735AC" w:rsidRPr="000D4A0C">
        <w:t xml:space="preserve">. There </w:t>
      </w:r>
      <w:r w:rsidRPr="000D4A0C">
        <w:t>can be</w:t>
      </w:r>
      <w:r w:rsidR="006735AC" w:rsidRPr="000D4A0C">
        <w:t xml:space="preserve"> intense competition among societies for high-turnover venues, which </w:t>
      </w:r>
      <w:r w:rsidRPr="000D4A0C">
        <w:t xml:space="preserve">leads to </w:t>
      </w:r>
      <w:r w:rsidR="00DE0417" w:rsidRPr="000D4A0C">
        <w:t>a</w:t>
      </w:r>
      <w:r w:rsidRPr="000D4A0C">
        <w:t xml:space="preserve"> risk that some </w:t>
      </w:r>
      <w:r w:rsidR="006735AC" w:rsidRPr="000D4A0C">
        <w:t xml:space="preserve">venues </w:t>
      </w:r>
      <w:r w:rsidRPr="000D4A0C">
        <w:t xml:space="preserve">may attempt </w:t>
      </w:r>
      <w:r w:rsidR="006735AC" w:rsidRPr="000D4A0C">
        <w:t>to exert undue influence over societies</w:t>
      </w:r>
      <w:r w:rsidR="006E69CE">
        <w:t>;</w:t>
      </w:r>
    </w:p>
    <w:p w:rsidR="004D5441" w:rsidRPr="000D4A0C" w:rsidRDefault="00E419FA" w:rsidP="000711F1">
      <w:pPr>
        <w:pStyle w:val="Numberedpara3level211"/>
      </w:pPr>
      <w:r w:rsidRPr="000D4A0C">
        <w:t>i</w:t>
      </w:r>
      <w:r w:rsidR="004D5441" w:rsidRPr="000D4A0C">
        <w:t>nherent risk in the system of grants capture</w:t>
      </w:r>
      <w:r w:rsidR="006735AC" w:rsidRPr="000D4A0C">
        <w:t xml:space="preserve"> – </w:t>
      </w:r>
      <w:r w:rsidR="00DE0417" w:rsidRPr="000D4A0C">
        <w:t xml:space="preserve">the risk that some venues </w:t>
      </w:r>
      <w:r w:rsidR="006735AC" w:rsidRPr="000D4A0C">
        <w:t xml:space="preserve">may exert </w:t>
      </w:r>
      <w:r w:rsidR="0048343F" w:rsidRPr="000D4A0C">
        <w:t>their market power to exert inappropriate</w:t>
      </w:r>
      <w:r w:rsidR="006735AC" w:rsidRPr="000D4A0C">
        <w:t xml:space="preserve"> influence over societies to make grants to causes associated with the venue</w:t>
      </w:r>
      <w:r w:rsidR="00DE0417" w:rsidRPr="000D4A0C">
        <w:t xml:space="preserve"> (rather than </w:t>
      </w:r>
      <w:r w:rsidR="0048343F" w:rsidRPr="000D4A0C">
        <w:t xml:space="preserve">conforming to the fair and transparent processes anticipated by the </w:t>
      </w:r>
      <w:r w:rsidR="00031EAC" w:rsidRPr="000D4A0C">
        <w:t xml:space="preserve">Gambling </w:t>
      </w:r>
      <w:r w:rsidR="0048343F" w:rsidRPr="000D4A0C">
        <w:t>Act</w:t>
      </w:r>
      <w:r w:rsidR="00DE0417" w:rsidRPr="000D4A0C">
        <w:t>)</w:t>
      </w:r>
      <w:r w:rsidR="006E69CE">
        <w:t>; and</w:t>
      </w:r>
    </w:p>
    <w:p w:rsidR="00031EAC" w:rsidRPr="000D4A0C" w:rsidRDefault="00031EAC" w:rsidP="000711F1">
      <w:pPr>
        <w:pStyle w:val="Numberedpara3level211"/>
      </w:pPr>
      <w:r w:rsidRPr="000D4A0C">
        <w:t xml:space="preserve">the need to ensure that class 4 societies and venues are meeting their prevention and minimisation obligations </w:t>
      </w:r>
      <w:r w:rsidR="00CE1DD4" w:rsidRPr="000D4A0C">
        <w:t xml:space="preserve">and other responsibilities </w:t>
      </w:r>
      <w:r w:rsidRPr="000D4A0C">
        <w:t>under the Gambling Act</w:t>
      </w:r>
      <w:r w:rsidR="00CE1DD4" w:rsidRPr="000D4A0C">
        <w:t>, while also maximising benefits to the community</w:t>
      </w:r>
      <w:r w:rsidRPr="000D4A0C">
        <w:t>.</w:t>
      </w:r>
    </w:p>
    <w:p w:rsidR="004D5441" w:rsidRPr="000D4A0C" w:rsidRDefault="004D5441" w:rsidP="000711F1">
      <w:pPr>
        <w:pStyle w:val="Cabinetpaperparaheading"/>
      </w:pPr>
      <w:r w:rsidRPr="000D4A0C">
        <w:t>Future uncertainty</w:t>
      </w:r>
      <w:r w:rsidR="00DE0417" w:rsidRPr="000D4A0C">
        <w:t xml:space="preserve"> for the Class 4 sector</w:t>
      </w:r>
    </w:p>
    <w:p w:rsidR="00A82B31" w:rsidRPr="000D4A0C" w:rsidRDefault="004D5441" w:rsidP="000711F1">
      <w:pPr>
        <w:pStyle w:val="Numberedpara3level1"/>
      </w:pPr>
      <w:r w:rsidRPr="000D4A0C">
        <w:t>The class 4 sector appears relatively stable at present</w:t>
      </w:r>
      <w:r w:rsidR="003B492E" w:rsidRPr="000D4A0C">
        <w:t>. Current f</w:t>
      </w:r>
      <w:r w:rsidRPr="000D4A0C">
        <w:t xml:space="preserve">orecasts for expenditure </w:t>
      </w:r>
      <w:r w:rsidR="003B492E" w:rsidRPr="000D4A0C">
        <w:t xml:space="preserve">are positive </w:t>
      </w:r>
      <w:r w:rsidRPr="000D4A0C">
        <w:t xml:space="preserve">and </w:t>
      </w:r>
      <w:r w:rsidR="003B492E" w:rsidRPr="000D4A0C">
        <w:t xml:space="preserve">therefore proceeds </w:t>
      </w:r>
      <w:r w:rsidRPr="000D4A0C">
        <w:t xml:space="preserve">available </w:t>
      </w:r>
      <w:r w:rsidR="003B492E" w:rsidRPr="000D4A0C">
        <w:t xml:space="preserve">for </w:t>
      </w:r>
      <w:r w:rsidRPr="000D4A0C">
        <w:t>grants funding</w:t>
      </w:r>
      <w:r w:rsidR="003B492E" w:rsidRPr="000D4A0C">
        <w:t xml:space="preserve"> should be maintained or increased, at least in the short-term.</w:t>
      </w:r>
      <w:r w:rsidR="00A82B31" w:rsidRPr="000D4A0C">
        <w:t xml:space="preserve"> The Department anticipates further consolidation within the sector, along the lines of changes over recent years. While the number of societies may remain relatively stable, the number of venues and gaming machines may continue to decline</w:t>
      </w:r>
      <w:r w:rsidR="005F034B" w:rsidRPr="000D4A0C">
        <w:t xml:space="preserve">, and </w:t>
      </w:r>
      <w:r w:rsidR="00A82B31" w:rsidRPr="000D4A0C">
        <w:t>the average return</w:t>
      </w:r>
      <w:r w:rsidR="00B76C94" w:rsidRPr="000D4A0C">
        <w:t>s</w:t>
      </w:r>
      <w:r w:rsidR="00A82B31" w:rsidRPr="000D4A0C">
        <w:t xml:space="preserve"> from venues and machine</w:t>
      </w:r>
      <w:r w:rsidR="00B76C94" w:rsidRPr="000D4A0C">
        <w:t>s</w:t>
      </w:r>
      <w:r w:rsidR="00A82B31" w:rsidRPr="000D4A0C">
        <w:t xml:space="preserve"> may continue to increase.</w:t>
      </w:r>
    </w:p>
    <w:p w:rsidR="004D5441" w:rsidRPr="000D4A0C" w:rsidRDefault="003B492E" w:rsidP="000711F1">
      <w:pPr>
        <w:pStyle w:val="Numberedpara3level1"/>
      </w:pPr>
      <w:r w:rsidRPr="000D4A0C">
        <w:t xml:space="preserve">However, </w:t>
      </w:r>
      <w:r w:rsidR="00A82B31" w:rsidRPr="000D4A0C">
        <w:t>the future of the c</w:t>
      </w:r>
      <w:r w:rsidRPr="000D4A0C">
        <w:t xml:space="preserve">lass 4 </w:t>
      </w:r>
      <w:r w:rsidR="00A82B31" w:rsidRPr="000D4A0C">
        <w:t xml:space="preserve">sector may be vulnerable </w:t>
      </w:r>
      <w:r w:rsidR="004D5441" w:rsidRPr="000D4A0C">
        <w:t>to environmental factors, such as the state of the economy</w:t>
      </w:r>
      <w:r w:rsidR="00320B79" w:rsidRPr="000D4A0C">
        <w:t xml:space="preserve">, </w:t>
      </w:r>
      <w:r w:rsidR="00A82B31" w:rsidRPr="000D4A0C">
        <w:t>demographic changes in the gambling population,</w:t>
      </w:r>
      <w:r w:rsidR="00320B79" w:rsidRPr="000D4A0C">
        <w:t xml:space="preserve"> </w:t>
      </w:r>
      <w:r w:rsidR="004D5441" w:rsidRPr="000D4A0C">
        <w:t>changing consumer preferences</w:t>
      </w:r>
      <w:r w:rsidR="00A82B31" w:rsidRPr="000D4A0C">
        <w:t xml:space="preserve"> or changes in the hospitality sector, which hosts the majority of gaming machines.</w:t>
      </w:r>
    </w:p>
    <w:p w:rsidR="002A0675" w:rsidRPr="000D4A0C" w:rsidRDefault="006735AC" w:rsidP="000711F1">
      <w:pPr>
        <w:pStyle w:val="Numberedpara3level1"/>
      </w:pPr>
      <w:r w:rsidRPr="000D4A0C">
        <w:t>The complexity of the system</w:t>
      </w:r>
      <w:r w:rsidR="007B4E4B" w:rsidRPr="000D4A0C">
        <w:t xml:space="preserve"> </w:t>
      </w:r>
      <w:r w:rsidRPr="000D4A0C">
        <w:t>also mean</w:t>
      </w:r>
      <w:r w:rsidR="00FA3C6F" w:rsidRPr="000D4A0C">
        <w:t>s</w:t>
      </w:r>
      <w:r w:rsidRPr="000D4A0C">
        <w:t xml:space="preserve"> that the costs of regulation will remain high. Fees </w:t>
      </w:r>
      <w:r w:rsidR="00A82B31" w:rsidRPr="000D4A0C">
        <w:t xml:space="preserve">for the sector may </w:t>
      </w:r>
      <w:r w:rsidRPr="000D4A0C">
        <w:t>require further increases in</w:t>
      </w:r>
      <w:r w:rsidR="00F41AB2" w:rsidRPr="000D4A0C">
        <w:t xml:space="preserve"> the future</w:t>
      </w:r>
      <w:r w:rsidRPr="000D4A0C">
        <w:t xml:space="preserve"> as the fixed costs of the regulator are spread across a declining number of </w:t>
      </w:r>
      <w:r w:rsidR="00CE1DD4" w:rsidRPr="000D4A0C">
        <w:t xml:space="preserve">societies, venues and </w:t>
      </w:r>
      <w:r w:rsidRPr="000D4A0C">
        <w:t>machines.</w:t>
      </w:r>
    </w:p>
    <w:p w:rsidR="00AF7F80" w:rsidRPr="000D4A0C" w:rsidRDefault="006735AC" w:rsidP="000711F1">
      <w:pPr>
        <w:pStyle w:val="Cabinetpaperparaheading"/>
      </w:pPr>
      <w:r w:rsidRPr="000D4A0C">
        <w:lastRenderedPageBreak/>
        <w:t>Proposed consultation o</w:t>
      </w:r>
      <w:r w:rsidR="00046741" w:rsidRPr="000D4A0C">
        <w:t>n</w:t>
      </w:r>
      <w:r w:rsidRPr="000D4A0C">
        <w:t xml:space="preserve"> sustainability of </w:t>
      </w:r>
      <w:r w:rsidR="002C5F6C" w:rsidRPr="000D4A0C">
        <w:t>c</w:t>
      </w:r>
      <w:r w:rsidRPr="000D4A0C">
        <w:t>lass 4 sector</w:t>
      </w:r>
    </w:p>
    <w:p w:rsidR="001A0D5F" w:rsidRPr="000D4A0C" w:rsidRDefault="00063837" w:rsidP="000711F1">
      <w:pPr>
        <w:pStyle w:val="Numberedpara3level1"/>
      </w:pPr>
      <w:r w:rsidRPr="000D4A0C">
        <w:t xml:space="preserve">We do not have evidence that the </w:t>
      </w:r>
      <w:r w:rsidR="00320B79" w:rsidRPr="000D4A0C">
        <w:t xml:space="preserve">class 4 </w:t>
      </w:r>
      <w:r w:rsidRPr="000D4A0C">
        <w:t xml:space="preserve">sector </w:t>
      </w:r>
      <w:r w:rsidR="00320B79" w:rsidRPr="000D4A0C">
        <w:t>faces short-term risk</w:t>
      </w:r>
      <w:r w:rsidR="00046741" w:rsidRPr="000D4A0C">
        <w:t>s requiring urgent intervention</w:t>
      </w:r>
      <w:r w:rsidR="00320B79" w:rsidRPr="000D4A0C">
        <w:t xml:space="preserve">. However, </w:t>
      </w:r>
      <w:r w:rsidR="00046741" w:rsidRPr="000D4A0C">
        <w:t>we also cannot guarantee the</w:t>
      </w:r>
      <w:r w:rsidR="00320B79" w:rsidRPr="000D4A0C">
        <w:t xml:space="preserve"> longer term </w:t>
      </w:r>
      <w:r w:rsidR="009F51C8" w:rsidRPr="000D4A0C">
        <w:t xml:space="preserve">sustainability of </w:t>
      </w:r>
      <w:r w:rsidR="006458E8" w:rsidRPr="000D4A0C">
        <w:t xml:space="preserve">the community funding generated by </w:t>
      </w:r>
      <w:r w:rsidR="00046741" w:rsidRPr="000D4A0C">
        <w:t>the sector</w:t>
      </w:r>
      <w:r w:rsidR="00320B79" w:rsidRPr="000D4A0C">
        <w:t>.</w:t>
      </w:r>
      <w:r w:rsidR="001A0D5F" w:rsidRPr="000D4A0C">
        <w:t xml:space="preserve"> </w:t>
      </w:r>
      <w:r w:rsidRPr="000D4A0C">
        <w:t xml:space="preserve">I propose a programme of public consultation and engagement </w:t>
      </w:r>
      <w:r w:rsidR="001A0D5F" w:rsidRPr="000D4A0C">
        <w:t xml:space="preserve">to discuss </w:t>
      </w:r>
      <w:r w:rsidR="00B76C94" w:rsidRPr="000D4A0C">
        <w:t>progress on</w:t>
      </w:r>
      <w:r w:rsidR="001A0D5F" w:rsidRPr="000D4A0C">
        <w:t xml:space="preserve"> the review to date and </w:t>
      </w:r>
      <w:r w:rsidR="00B76C94" w:rsidRPr="000D4A0C">
        <w:t>how</w:t>
      </w:r>
      <w:r w:rsidR="007A5B8A" w:rsidRPr="000D4A0C">
        <w:t xml:space="preserve"> to help ensure the </w:t>
      </w:r>
      <w:r w:rsidR="001A0D5F" w:rsidRPr="000D4A0C">
        <w:t xml:space="preserve">future </w:t>
      </w:r>
      <w:r w:rsidR="007A5B8A" w:rsidRPr="000D4A0C">
        <w:t xml:space="preserve">sustainability of funding from </w:t>
      </w:r>
      <w:r w:rsidR="001A0D5F" w:rsidRPr="000D4A0C">
        <w:t>class 4 gambling.</w:t>
      </w:r>
    </w:p>
    <w:p w:rsidR="007A5B8A" w:rsidRPr="000D4A0C" w:rsidRDefault="007A5B8A" w:rsidP="000711F1">
      <w:pPr>
        <w:pStyle w:val="Numberedpara3level1"/>
      </w:pPr>
      <w:r w:rsidRPr="000D4A0C">
        <w:t xml:space="preserve">I am keen to take a collaborative approach to this work, and </w:t>
      </w:r>
      <w:r w:rsidR="000573FE" w:rsidRPr="000D4A0C">
        <w:t xml:space="preserve">try to </w:t>
      </w:r>
      <w:r w:rsidRPr="000D4A0C">
        <w:t>get buy-in from the sector as much as possible</w:t>
      </w:r>
      <w:r w:rsidR="000573FE" w:rsidRPr="000D4A0C">
        <w:t xml:space="preserve"> on options that effectively address the long-term challenges it faces</w:t>
      </w:r>
      <w:r w:rsidRPr="000D4A0C">
        <w:t>.</w:t>
      </w:r>
      <w:r w:rsidR="00AF7F80" w:rsidRPr="000D4A0C">
        <w:t xml:space="preserve"> </w:t>
      </w:r>
      <w:r w:rsidR="00B3209D" w:rsidRPr="000D4A0C">
        <w:t xml:space="preserve">Should </w:t>
      </w:r>
      <w:r w:rsidRPr="000D4A0C">
        <w:t xml:space="preserve">Cabinet </w:t>
      </w:r>
      <w:r w:rsidR="00B3209D" w:rsidRPr="000D4A0C">
        <w:t>agree</w:t>
      </w:r>
      <w:r w:rsidRPr="000D4A0C">
        <w:t xml:space="preserve"> to proceed with </w:t>
      </w:r>
      <w:r w:rsidR="007A3534" w:rsidRPr="000D4A0C">
        <w:t>further work</w:t>
      </w:r>
      <w:r w:rsidR="00B3209D" w:rsidRPr="000D4A0C">
        <w:t xml:space="preserve">, </w:t>
      </w:r>
      <w:r w:rsidR="00063837" w:rsidRPr="000D4A0C">
        <w:t>I propose</w:t>
      </w:r>
      <w:r w:rsidRPr="000D4A0C">
        <w:t>:</w:t>
      </w:r>
    </w:p>
    <w:p w:rsidR="007A5B8A" w:rsidRPr="000D4A0C" w:rsidRDefault="00063837" w:rsidP="000711F1">
      <w:pPr>
        <w:pStyle w:val="Numberedpara3level211"/>
      </w:pPr>
      <w:r w:rsidRPr="000D4A0C">
        <w:t xml:space="preserve">a short programme </w:t>
      </w:r>
      <w:r w:rsidR="007A5B8A" w:rsidRPr="000D4A0C">
        <w:t xml:space="preserve">of </w:t>
      </w:r>
      <w:r w:rsidRPr="000D4A0C">
        <w:t xml:space="preserve">targeted engagement with </w:t>
      </w:r>
      <w:r w:rsidR="007A5B8A" w:rsidRPr="000D4A0C">
        <w:t xml:space="preserve">key members of the </w:t>
      </w:r>
      <w:r w:rsidRPr="000D4A0C">
        <w:t>sec</w:t>
      </w:r>
      <w:r w:rsidR="00F55970" w:rsidRPr="000D4A0C">
        <w:t>t</w:t>
      </w:r>
      <w:r w:rsidR="001A0D5F" w:rsidRPr="000D4A0C">
        <w:t>or</w:t>
      </w:r>
      <w:r w:rsidR="007A5B8A" w:rsidRPr="000D4A0C">
        <w:t xml:space="preserve"> </w:t>
      </w:r>
      <w:r w:rsidR="007A3534" w:rsidRPr="000D4A0C">
        <w:t xml:space="preserve">(i.e. </w:t>
      </w:r>
      <w:r w:rsidR="00F41AB2" w:rsidRPr="000D4A0C">
        <w:t>class 4</w:t>
      </w:r>
      <w:r w:rsidR="007A3534" w:rsidRPr="000D4A0C">
        <w:t xml:space="preserve"> societies, </w:t>
      </w:r>
      <w:r w:rsidR="00255B88" w:rsidRPr="000D4A0C">
        <w:t xml:space="preserve">clubs, </w:t>
      </w:r>
      <w:r w:rsidR="00542899" w:rsidRPr="000D4A0C">
        <w:t xml:space="preserve">venue representatives, </w:t>
      </w:r>
      <w:r w:rsidR="007A3534" w:rsidRPr="000D4A0C">
        <w:t xml:space="preserve">problem gambling </w:t>
      </w:r>
      <w:r w:rsidR="00542899" w:rsidRPr="000D4A0C">
        <w:t xml:space="preserve">service </w:t>
      </w:r>
      <w:r w:rsidR="007A3534" w:rsidRPr="000D4A0C">
        <w:t>providers and</w:t>
      </w:r>
      <w:r w:rsidR="00542899" w:rsidRPr="000D4A0C">
        <w:t xml:space="preserve"> consumer groups</w:t>
      </w:r>
      <w:r w:rsidR="007A3534" w:rsidRPr="000D4A0C">
        <w:t xml:space="preserve">) </w:t>
      </w:r>
      <w:r w:rsidR="007A5B8A" w:rsidRPr="000D4A0C">
        <w:t xml:space="preserve">on the draft terms of reference attached at </w:t>
      </w:r>
      <w:r w:rsidR="007A5B8A" w:rsidRPr="00D42125">
        <w:rPr>
          <w:b/>
        </w:rPr>
        <w:t xml:space="preserve">Appendix </w:t>
      </w:r>
      <w:r w:rsidR="009105C3" w:rsidRPr="00D42125">
        <w:rPr>
          <w:b/>
        </w:rPr>
        <w:t>A</w:t>
      </w:r>
      <w:r w:rsidR="006E69CE">
        <w:t>;</w:t>
      </w:r>
    </w:p>
    <w:p w:rsidR="00E3072D" w:rsidRPr="000D4A0C" w:rsidRDefault="000573FE" w:rsidP="000711F1">
      <w:pPr>
        <w:pStyle w:val="Numberedpara3level211"/>
      </w:pPr>
      <w:r w:rsidRPr="000D4A0C">
        <w:t>a</w:t>
      </w:r>
      <w:r w:rsidR="007A3534" w:rsidRPr="000D4A0C">
        <w:t xml:space="preserve"> report-back to Cabinet</w:t>
      </w:r>
      <w:r w:rsidR="0099262D">
        <w:t xml:space="preserve"> in</w:t>
      </w:r>
      <w:r w:rsidR="00802496" w:rsidRPr="000D4A0C">
        <w:t xml:space="preserve"> May 2016</w:t>
      </w:r>
      <w:r w:rsidR="007A3534" w:rsidRPr="000D4A0C">
        <w:t xml:space="preserve"> with a draft discussio</w:t>
      </w:r>
      <w:r w:rsidR="00F41AB2" w:rsidRPr="000D4A0C">
        <w:t>n</w:t>
      </w:r>
      <w:r w:rsidR="007A3534" w:rsidRPr="000D4A0C">
        <w:t xml:space="preserve"> document for public release and an engagement strategy</w:t>
      </w:r>
      <w:r w:rsidR="006E69CE">
        <w:t>; and</w:t>
      </w:r>
    </w:p>
    <w:p w:rsidR="007A3534" w:rsidRPr="000D4A0C" w:rsidRDefault="000573FE" w:rsidP="000711F1">
      <w:pPr>
        <w:pStyle w:val="Numberedpara3level211"/>
      </w:pPr>
      <w:r w:rsidRPr="000D4A0C">
        <w:t>c</w:t>
      </w:r>
      <w:r w:rsidR="007A3534" w:rsidRPr="000D4A0C">
        <w:t xml:space="preserve">onsultation </w:t>
      </w:r>
      <w:r w:rsidR="0099262D">
        <w:t>over June</w:t>
      </w:r>
      <w:r w:rsidR="00802496" w:rsidRPr="000D4A0C">
        <w:t xml:space="preserve"> to </w:t>
      </w:r>
      <w:r w:rsidR="0099262D">
        <w:t>September</w:t>
      </w:r>
      <w:r w:rsidR="00802496" w:rsidRPr="000D4A0C">
        <w:t xml:space="preserve"> 2016</w:t>
      </w:r>
      <w:r w:rsidR="007A3534" w:rsidRPr="000D4A0C">
        <w:t>, and a report-back t</w:t>
      </w:r>
      <w:r w:rsidR="00802496" w:rsidRPr="000D4A0C">
        <w:t>o</w:t>
      </w:r>
      <w:r w:rsidR="007A3534" w:rsidRPr="000D4A0C">
        <w:t xml:space="preserve"> Cabinet </w:t>
      </w:r>
      <w:r w:rsidR="0099262D">
        <w:t xml:space="preserve">in </w:t>
      </w:r>
      <w:r w:rsidR="007A3534" w:rsidRPr="000D4A0C">
        <w:t>November 201</w:t>
      </w:r>
      <w:r w:rsidRPr="000D4A0C">
        <w:t>6</w:t>
      </w:r>
      <w:r w:rsidR="007A3534" w:rsidRPr="000D4A0C">
        <w:t xml:space="preserve"> with the results of consul</w:t>
      </w:r>
      <w:r w:rsidR="00802496" w:rsidRPr="000D4A0C">
        <w:t>t</w:t>
      </w:r>
      <w:r w:rsidR="007A3534" w:rsidRPr="000D4A0C">
        <w:t>at</w:t>
      </w:r>
      <w:r w:rsidR="00802496" w:rsidRPr="000D4A0C">
        <w:t>i</w:t>
      </w:r>
      <w:r w:rsidR="007A3534" w:rsidRPr="000D4A0C">
        <w:t>on and proposals for next steps</w:t>
      </w:r>
      <w:r w:rsidR="00802496" w:rsidRPr="000D4A0C">
        <w:t>.</w:t>
      </w:r>
    </w:p>
    <w:p w:rsidR="007B0DA0" w:rsidRPr="000D4A0C" w:rsidRDefault="007B0DA0" w:rsidP="000711F1">
      <w:pPr>
        <w:pStyle w:val="Cabinetpaperparaheading"/>
      </w:pPr>
      <w:r w:rsidRPr="000D4A0C">
        <w:t>Potential amendments to the Racing A</w:t>
      </w:r>
      <w:r w:rsidR="005D6837" w:rsidRPr="000D4A0C">
        <w:t>c</w:t>
      </w:r>
      <w:r w:rsidRPr="000D4A0C">
        <w:t>t</w:t>
      </w:r>
    </w:p>
    <w:p w:rsidR="005D6837" w:rsidRPr="000D4A0C" w:rsidRDefault="005D6837" w:rsidP="000711F1">
      <w:pPr>
        <w:pStyle w:val="Numberedpara3level1"/>
      </w:pPr>
      <w:r w:rsidRPr="000D4A0C">
        <w:t>The Minister for Racing is developing proposals to deal with online racing and sports betting activities that fall outside the control of New Zealand’s regulatory framework. These proposals include meas</w:t>
      </w:r>
      <w:r w:rsidR="00A02AA3" w:rsidRPr="000D4A0C">
        <w:t>u</w:t>
      </w:r>
      <w:r w:rsidRPr="000D4A0C">
        <w:t>res to increase the range of betting products that can be offered by the TAB at present (e.g. allowing in-race betting)</w:t>
      </w:r>
      <w:r w:rsidR="00A02AA3" w:rsidRPr="000D4A0C">
        <w:t>. They also include potential offshore consumption and data use levies targeted at offshore bookmakers, whose activities currently bypass New Zealand’s regulatory framework.</w:t>
      </w:r>
    </w:p>
    <w:p w:rsidR="00A02AA3" w:rsidRPr="000D4A0C" w:rsidRDefault="00A02AA3" w:rsidP="000711F1">
      <w:pPr>
        <w:pStyle w:val="Numberedpara3level1"/>
      </w:pPr>
      <w:r w:rsidRPr="000D4A0C">
        <w:t>The proposals are relevant to the broader gambling review, as they will potentially increase the gambling options for New Zealanders, and they will be the first attempt to regulate online offshore gambling providers.</w:t>
      </w:r>
    </w:p>
    <w:p w:rsidR="00A02AA3" w:rsidRPr="000D4A0C" w:rsidRDefault="00A02AA3" w:rsidP="000711F1">
      <w:pPr>
        <w:pStyle w:val="Numberedpara3level1"/>
      </w:pPr>
      <w:r w:rsidRPr="000D4A0C">
        <w:t>The Minister for Racing intends to advance this work at a more rapid pace than the class 4 review, with legislation</w:t>
      </w:r>
      <w:r w:rsidR="0099262D">
        <w:t xml:space="preserve"> potentially</w:t>
      </w:r>
      <w:r w:rsidRPr="000D4A0C">
        <w:t xml:space="preserve"> introduced in 2016. The work on racing will therefore proceed on a separate track, though</w:t>
      </w:r>
      <w:r w:rsidR="0099262D">
        <w:t xml:space="preserve"> t</w:t>
      </w:r>
      <w:r w:rsidRPr="000D4A0C">
        <w:t xml:space="preserve">he Minister for Racing and I will </w:t>
      </w:r>
      <w:r w:rsidR="007B4E4B" w:rsidRPr="000D4A0C">
        <w:t xml:space="preserve">work closely together </w:t>
      </w:r>
      <w:r w:rsidRPr="000D4A0C">
        <w:t xml:space="preserve">on any </w:t>
      </w:r>
      <w:r w:rsidR="007B4E4B" w:rsidRPr="000D4A0C">
        <w:t>issues</w:t>
      </w:r>
      <w:r w:rsidR="00F11DA4" w:rsidRPr="000D4A0C">
        <w:t xml:space="preserve"> </w:t>
      </w:r>
      <w:r w:rsidR="007B4E4B" w:rsidRPr="000D4A0C">
        <w:t>that require coordination</w:t>
      </w:r>
      <w:r w:rsidRPr="000D4A0C">
        <w:t xml:space="preserve"> across the two work streams</w:t>
      </w:r>
      <w:r w:rsidR="009105C3" w:rsidRPr="000D4A0C">
        <w:t>.</w:t>
      </w:r>
    </w:p>
    <w:p w:rsidR="00AF7F80" w:rsidRPr="000D4A0C" w:rsidRDefault="00AF7F80" w:rsidP="000711F1">
      <w:pPr>
        <w:pStyle w:val="Cabinetpaperparaheading"/>
      </w:pPr>
      <w:r w:rsidRPr="000D4A0C">
        <w:t>Consultation</w:t>
      </w:r>
    </w:p>
    <w:p w:rsidR="00AF7F80" w:rsidRPr="000D4A0C" w:rsidRDefault="00AF7F80" w:rsidP="000711F1">
      <w:pPr>
        <w:pStyle w:val="Numberedpara3level1"/>
      </w:pPr>
      <w:r w:rsidRPr="000D4A0C">
        <w:t>The Treasury, Ministries of Health,</w:t>
      </w:r>
      <w:r w:rsidR="007A3534" w:rsidRPr="000D4A0C">
        <w:t xml:space="preserve"> Education,</w:t>
      </w:r>
      <w:r w:rsidRPr="000D4A0C">
        <w:t xml:space="preserve"> Business, Innovation and Employment, Pacific Island Affairs, </w:t>
      </w:r>
      <w:r w:rsidR="00AC04A7" w:rsidRPr="000D4A0C">
        <w:t xml:space="preserve">Ministries for Women </w:t>
      </w:r>
      <w:r w:rsidRPr="000D4A0C">
        <w:t xml:space="preserve">and </w:t>
      </w:r>
      <w:r w:rsidR="00AC04A7" w:rsidRPr="000D4A0C">
        <w:t xml:space="preserve">Culture and Heritage, </w:t>
      </w:r>
      <w:r w:rsidRPr="000D4A0C">
        <w:t>Te Puni Kōkiri, and Sport New Zealand, have been consulted on this paper. The Department of the Prime Minister and Cabinet has been informed.</w:t>
      </w:r>
      <w:r w:rsidR="008F1844" w:rsidRPr="000D4A0C">
        <w:t xml:space="preserve"> </w:t>
      </w:r>
    </w:p>
    <w:p w:rsidR="00AF7F80" w:rsidRPr="000D4A0C" w:rsidRDefault="00AF7F80" w:rsidP="000711F1">
      <w:pPr>
        <w:pStyle w:val="Cabinetpaperparaheading"/>
      </w:pPr>
      <w:r w:rsidRPr="000D4A0C">
        <w:t>Financial implications</w:t>
      </w:r>
    </w:p>
    <w:p w:rsidR="00AF7F80" w:rsidRPr="000D4A0C" w:rsidRDefault="00AF7F80" w:rsidP="000711F1">
      <w:pPr>
        <w:pStyle w:val="Numberedpara3level1"/>
      </w:pPr>
      <w:r w:rsidRPr="000D4A0C">
        <w:t xml:space="preserve">There are no financial implications arising from this paper. </w:t>
      </w:r>
      <w:r w:rsidR="001A0E0B" w:rsidRPr="000D4A0C">
        <w:t>Any further</w:t>
      </w:r>
      <w:r w:rsidRPr="000D4A0C">
        <w:t xml:space="preserve"> </w:t>
      </w:r>
      <w:r w:rsidR="00510475" w:rsidRPr="000D4A0C">
        <w:t>review</w:t>
      </w:r>
      <w:r w:rsidRPr="000D4A0C">
        <w:t xml:space="preserve"> work </w:t>
      </w:r>
      <w:r w:rsidR="001A0E0B" w:rsidRPr="000D4A0C">
        <w:t xml:space="preserve">will </w:t>
      </w:r>
      <w:r w:rsidRPr="000D4A0C">
        <w:t xml:space="preserve">be undertaken by officials within existing </w:t>
      </w:r>
      <w:r w:rsidR="00CC73D7" w:rsidRPr="000D4A0C">
        <w:t>D</w:t>
      </w:r>
      <w:r w:rsidR="001A0E0B" w:rsidRPr="000D4A0C">
        <w:t>epartmental baselines.</w:t>
      </w:r>
    </w:p>
    <w:p w:rsidR="00AF7F80" w:rsidRPr="000D4A0C" w:rsidRDefault="00AF7F80" w:rsidP="000711F1">
      <w:pPr>
        <w:pStyle w:val="Cabinetpaperparaheading"/>
      </w:pPr>
      <w:r w:rsidRPr="000D4A0C">
        <w:lastRenderedPageBreak/>
        <w:t>Legislative implications</w:t>
      </w:r>
    </w:p>
    <w:p w:rsidR="00AF7F80" w:rsidRPr="000D4A0C" w:rsidRDefault="00AF7F80" w:rsidP="000711F1">
      <w:pPr>
        <w:pStyle w:val="Numberedpara3level1"/>
      </w:pPr>
      <w:r w:rsidRPr="000D4A0C">
        <w:t xml:space="preserve">There are no legislative implications associated with the </w:t>
      </w:r>
      <w:r w:rsidR="001A0E0B" w:rsidRPr="000D4A0C">
        <w:t>recommendations of this paper. However, future</w:t>
      </w:r>
      <w:r w:rsidRPr="000D4A0C">
        <w:t xml:space="preserve"> change proposals</w:t>
      </w:r>
      <w:r w:rsidR="00CC73D7" w:rsidRPr="000D4A0C">
        <w:t xml:space="preserve"> </w:t>
      </w:r>
      <w:r w:rsidR="001A0E0B" w:rsidRPr="000D4A0C">
        <w:t xml:space="preserve">may </w:t>
      </w:r>
      <w:r w:rsidR="00CC73D7" w:rsidRPr="000D4A0C">
        <w:t>have</w:t>
      </w:r>
      <w:r w:rsidRPr="000D4A0C">
        <w:t xml:space="preserve"> legislative implications.</w:t>
      </w:r>
    </w:p>
    <w:p w:rsidR="00AF7F80" w:rsidRPr="000D4A0C" w:rsidRDefault="00AF7F80" w:rsidP="000711F1">
      <w:pPr>
        <w:pStyle w:val="Cabinetpaperparaheading"/>
      </w:pPr>
      <w:r w:rsidRPr="000D4A0C">
        <w:t xml:space="preserve">Gender implications, disability perspective, and human rights </w:t>
      </w:r>
    </w:p>
    <w:p w:rsidR="00AF7F80" w:rsidRPr="000D4A0C" w:rsidRDefault="00AF7F80" w:rsidP="000711F1">
      <w:pPr>
        <w:pStyle w:val="Numberedpara3level1"/>
      </w:pPr>
      <w:r w:rsidRPr="000D4A0C">
        <w:t>Th</w:t>
      </w:r>
      <w:r w:rsidR="001A0E0B" w:rsidRPr="000D4A0C">
        <w:t>ere are</w:t>
      </w:r>
      <w:r w:rsidRPr="000D4A0C">
        <w:t xml:space="preserve"> </w:t>
      </w:r>
      <w:r w:rsidR="001A0E0B" w:rsidRPr="000D4A0C">
        <w:t xml:space="preserve">no </w:t>
      </w:r>
      <w:r w:rsidRPr="000D4A0C">
        <w:t>gender implications, or a nee</w:t>
      </w:r>
      <w:r w:rsidR="001A0E0B" w:rsidRPr="000D4A0C">
        <w:t xml:space="preserve">d for disability perspectives. </w:t>
      </w:r>
      <w:r w:rsidRPr="000D4A0C">
        <w:t>No potential inconsistencies exist between the proposal</w:t>
      </w:r>
      <w:r w:rsidR="001A0E0B" w:rsidRPr="000D4A0C">
        <w:t>s in the paper</w:t>
      </w:r>
      <w:r w:rsidRPr="000D4A0C">
        <w:t xml:space="preserve"> and the New Zealand Bill of Rights Act 1990, or the Human Rights Act 1993.</w:t>
      </w:r>
      <w:r w:rsidR="00542899" w:rsidRPr="000D4A0C">
        <w:t xml:space="preserve"> However, the disproportionately harmful impact of class 4 gambling on </w:t>
      </w:r>
      <w:r w:rsidR="00542899" w:rsidRPr="00F467A7">
        <w:t>M</w:t>
      </w:r>
      <w:r w:rsidR="00F467A7">
        <w:t>ā</w:t>
      </w:r>
      <w:r w:rsidR="00542899" w:rsidRPr="00F467A7">
        <w:t>ori</w:t>
      </w:r>
      <w:r w:rsidR="00542899" w:rsidRPr="000D4A0C">
        <w:t>, whanau and lower-socio-economic groups raises issues of equity.</w:t>
      </w:r>
    </w:p>
    <w:p w:rsidR="00AF7F80" w:rsidRPr="000D4A0C" w:rsidRDefault="00AF7F80" w:rsidP="000711F1">
      <w:pPr>
        <w:pStyle w:val="Cabinetpaperparaheading"/>
      </w:pPr>
      <w:r w:rsidRPr="000D4A0C">
        <w:t>Publicity</w:t>
      </w:r>
    </w:p>
    <w:p w:rsidR="00AF7F80" w:rsidRPr="000D4A0C" w:rsidRDefault="00AF7F80" w:rsidP="000711F1">
      <w:pPr>
        <w:pStyle w:val="Numberedpara3level1"/>
      </w:pPr>
      <w:r w:rsidRPr="000D4A0C">
        <w:t>I intend to issue a press release</w:t>
      </w:r>
      <w:r w:rsidR="007A3534" w:rsidRPr="000D4A0C">
        <w:t xml:space="preserve"> after Cabinet has made decisions on next steps. </w:t>
      </w:r>
      <w:r w:rsidRPr="000D4A0C">
        <w:t>I also intend to proactively publish this Cabinet paper and related Cabinet decisions on the Department’s website</w:t>
      </w:r>
      <w:r w:rsidR="00200508" w:rsidRPr="000D4A0C">
        <w:t xml:space="preserve"> after the media announcement has been made</w:t>
      </w:r>
      <w:r w:rsidRPr="000D4A0C">
        <w:t xml:space="preserve">, subject to consideration of any deletions that </w:t>
      </w:r>
      <w:r w:rsidR="00B679D0" w:rsidRPr="000D4A0C">
        <w:t>would</w:t>
      </w:r>
      <w:r w:rsidRPr="000D4A0C">
        <w:t xml:space="preserve"> be justified if the information had been requested under the Official Information Act 1982.</w:t>
      </w:r>
    </w:p>
    <w:p w:rsidR="00AF7F80" w:rsidRPr="000D4A0C" w:rsidRDefault="00AF7F80" w:rsidP="000711F1">
      <w:pPr>
        <w:pStyle w:val="Cabinetpaperparaheading"/>
      </w:pPr>
      <w:r w:rsidRPr="000D4A0C">
        <w:t>Recommendations</w:t>
      </w:r>
    </w:p>
    <w:p w:rsidR="00AF7F80" w:rsidRPr="000D4A0C" w:rsidRDefault="00AF7F80" w:rsidP="000711F1">
      <w:pPr>
        <w:pStyle w:val="Numberedpara3level1"/>
      </w:pPr>
      <w:r w:rsidRPr="000D4A0C">
        <w:t>The Minister of Internal Affairs recommends that the Committee:</w:t>
      </w:r>
    </w:p>
    <w:p w:rsidR="00977C71" w:rsidRPr="000D4A0C" w:rsidRDefault="00AF7F80" w:rsidP="000711F1">
      <w:pPr>
        <w:pStyle w:val="List123"/>
      </w:pPr>
      <w:r w:rsidRPr="000711F1">
        <w:rPr>
          <w:b/>
        </w:rPr>
        <w:t>note</w:t>
      </w:r>
      <w:r w:rsidRPr="000D4A0C">
        <w:t xml:space="preserve"> that </w:t>
      </w:r>
      <w:r w:rsidR="00977C71" w:rsidRPr="000D4A0C">
        <w:t xml:space="preserve">work on the review </w:t>
      </w:r>
      <w:r w:rsidR="007A3534" w:rsidRPr="000D4A0C">
        <w:t>of class 4 gambling indicates</w:t>
      </w:r>
      <w:r w:rsidR="00977C71" w:rsidRPr="000D4A0C">
        <w:t xml:space="preserve"> that while the class 4 sector </w:t>
      </w:r>
      <w:r w:rsidR="006536D0" w:rsidRPr="000D4A0C">
        <w:t xml:space="preserve">overall </w:t>
      </w:r>
      <w:r w:rsidR="00977C71" w:rsidRPr="000D4A0C">
        <w:t xml:space="preserve">has declined since the </w:t>
      </w:r>
      <w:r w:rsidR="007B4E4B" w:rsidRPr="000D4A0C">
        <w:t xml:space="preserve">passage </w:t>
      </w:r>
      <w:r w:rsidR="00977C71" w:rsidRPr="000D4A0C">
        <w:t>of the G</w:t>
      </w:r>
      <w:r w:rsidR="00C36923" w:rsidRPr="000D4A0C">
        <w:t>ambling Act 2003</w:t>
      </w:r>
      <w:r w:rsidR="00977C71" w:rsidRPr="000D4A0C">
        <w:t xml:space="preserve">, expenditure </w:t>
      </w:r>
      <w:r w:rsidR="006536D0" w:rsidRPr="000D4A0C">
        <w:t xml:space="preserve">on gaming machines </w:t>
      </w:r>
      <w:r w:rsidR="00977C71" w:rsidRPr="000D4A0C">
        <w:t>has recovered in recent years and the sector has achieved a level of consolidation and ma</w:t>
      </w:r>
      <w:r w:rsidR="003D3C20" w:rsidRPr="000D4A0C">
        <w:t>t</w:t>
      </w:r>
      <w:r w:rsidR="00977C71" w:rsidRPr="000D4A0C">
        <w:t>urity</w:t>
      </w:r>
      <w:r w:rsidR="006E69CE">
        <w:t>;</w:t>
      </w:r>
    </w:p>
    <w:p w:rsidR="00890B81" w:rsidRPr="000D4A0C" w:rsidRDefault="00890B81" w:rsidP="000711F1">
      <w:pPr>
        <w:pStyle w:val="List123"/>
      </w:pPr>
      <w:r w:rsidRPr="000711F1">
        <w:rPr>
          <w:b/>
        </w:rPr>
        <w:t>note</w:t>
      </w:r>
      <w:r w:rsidRPr="000D4A0C">
        <w:t xml:space="preserve"> that community funding from class 4 gambling also declined </w:t>
      </w:r>
      <w:r w:rsidR="006536D0" w:rsidRPr="000D4A0C">
        <w:t xml:space="preserve">from the </w:t>
      </w:r>
      <w:r w:rsidR="007B4E4B" w:rsidRPr="000D4A0C">
        <w:t>passage of the Gambling Act 2003</w:t>
      </w:r>
      <w:r w:rsidR="006536D0" w:rsidRPr="000D4A0C">
        <w:t>, but has recovered to be relatively stable in recent years</w:t>
      </w:r>
      <w:r w:rsidR="006E69CE">
        <w:t>;</w:t>
      </w:r>
    </w:p>
    <w:p w:rsidR="00AF7F80" w:rsidRPr="000D4A0C" w:rsidRDefault="003D3C20" w:rsidP="000711F1">
      <w:pPr>
        <w:pStyle w:val="List123"/>
      </w:pPr>
      <w:r w:rsidRPr="000711F1">
        <w:rPr>
          <w:b/>
        </w:rPr>
        <w:t>note</w:t>
      </w:r>
      <w:r w:rsidRPr="000D4A0C">
        <w:t xml:space="preserve"> that the </w:t>
      </w:r>
      <w:r w:rsidR="00F41AB2" w:rsidRPr="000D4A0C">
        <w:t xml:space="preserve">current policy settings for </w:t>
      </w:r>
      <w:r w:rsidRPr="000D4A0C">
        <w:t xml:space="preserve">class 4 </w:t>
      </w:r>
      <w:r w:rsidR="00F41AB2" w:rsidRPr="000D4A0C">
        <w:t>gambling require high costs of regulation to ensure compliance with the legislation</w:t>
      </w:r>
      <w:r w:rsidR="006E69CE">
        <w:t>;</w:t>
      </w:r>
    </w:p>
    <w:p w:rsidR="003D3C20" w:rsidRPr="000D4A0C" w:rsidRDefault="003D3C20" w:rsidP="000711F1">
      <w:pPr>
        <w:pStyle w:val="List123"/>
      </w:pPr>
      <w:r w:rsidRPr="000711F1">
        <w:rPr>
          <w:b/>
        </w:rPr>
        <w:t>note</w:t>
      </w:r>
      <w:r w:rsidRPr="000D4A0C">
        <w:t xml:space="preserve"> that a number of recent </w:t>
      </w:r>
      <w:r w:rsidR="008A0C65" w:rsidRPr="000D4A0C">
        <w:t xml:space="preserve">and pending </w:t>
      </w:r>
      <w:r w:rsidR="007A3534" w:rsidRPr="000D4A0C">
        <w:t xml:space="preserve">regulatory </w:t>
      </w:r>
      <w:r w:rsidR="005F034B" w:rsidRPr="000D4A0C">
        <w:t>changes</w:t>
      </w:r>
      <w:r w:rsidR="00F41AB2" w:rsidRPr="000D4A0C">
        <w:t xml:space="preserve"> will</w:t>
      </w:r>
      <w:r w:rsidR="00475725" w:rsidRPr="000D4A0C">
        <w:t xml:space="preserve"> </w:t>
      </w:r>
      <w:r w:rsidRPr="000D4A0C">
        <w:t>impact on the class 4 sector</w:t>
      </w:r>
      <w:r w:rsidR="008A0C65" w:rsidRPr="000D4A0C">
        <w:t>;</w:t>
      </w:r>
      <w:r w:rsidRPr="000D4A0C">
        <w:t xml:space="preserve"> </w:t>
      </w:r>
      <w:r w:rsidR="008A0C65" w:rsidRPr="000D4A0C">
        <w:t xml:space="preserve">and their </w:t>
      </w:r>
      <w:r w:rsidR="007A3534" w:rsidRPr="000D4A0C">
        <w:t xml:space="preserve">full </w:t>
      </w:r>
      <w:r w:rsidR="008A0C65" w:rsidRPr="000D4A0C">
        <w:t xml:space="preserve">impacts may not be known for </w:t>
      </w:r>
      <w:r w:rsidR="001B2C5E" w:rsidRPr="000D4A0C">
        <w:t xml:space="preserve">up to </w:t>
      </w:r>
      <w:r w:rsidR="007A3534" w:rsidRPr="000D4A0C">
        <w:t>two years</w:t>
      </w:r>
      <w:r w:rsidR="006E69CE">
        <w:t>;</w:t>
      </w:r>
    </w:p>
    <w:p w:rsidR="007A3534" w:rsidRPr="000D4A0C" w:rsidRDefault="00475725" w:rsidP="000711F1">
      <w:pPr>
        <w:pStyle w:val="List123"/>
      </w:pPr>
      <w:r w:rsidRPr="00524488">
        <w:rPr>
          <w:b/>
        </w:rPr>
        <w:t>agree</w:t>
      </w:r>
      <w:r w:rsidRPr="000D4A0C">
        <w:t xml:space="preserve"> </w:t>
      </w:r>
      <w:r w:rsidR="007A3534" w:rsidRPr="000D4A0C">
        <w:t>to</w:t>
      </w:r>
      <w:r w:rsidRPr="000D4A0C">
        <w:t xml:space="preserve"> consultation with </w:t>
      </w:r>
      <w:r w:rsidR="000573FE" w:rsidRPr="000D4A0C">
        <w:t>the</w:t>
      </w:r>
      <w:r w:rsidR="007A3534" w:rsidRPr="000D4A0C">
        <w:t xml:space="preserve"> </w:t>
      </w:r>
      <w:r w:rsidR="008A0C65" w:rsidRPr="000D4A0C">
        <w:t>class 4</w:t>
      </w:r>
      <w:r w:rsidRPr="000D4A0C">
        <w:t xml:space="preserve"> sector to</w:t>
      </w:r>
      <w:r w:rsidR="007A3534" w:rsidRPr="000D4A0C">
        <w:t>:</w:t>
      </w:r>
    </w:p>
    <w:p w:rsidR="004273FB" w:rsidRPr="000D4A0C" w:rsidRDefault="008A0C65" w:rsidP="000711F1">
      <w:pPr>
        <w:pStyle w:val="List123level2"/>
      </w:pPr>
      <w:r w:rsidRPr="000D4A0C">
        <w:t>discuss the review findings to date</w:t>
      </w:r>
      <w:r w:rsidR="00832900">
        <w:t>;</w:t>
      </w:r>
      <w:r w:rsidRPr="000D4A0C">
        <w:t xml:space="preserve"> </w:t>
      </w:r>
    </w:p>
    <w:p w:rsidR="004273FB" w:rsidRPr="000D4A0C" w:rsidRDefault="004273FB" w:rsidP="000711F1">
      <w:pPr>
        <w:pStyle w:val="List123level2"/>
      </w:pPr>
      <w:r w:rsidRPr="000D4A0C">
        <w:t>gather evidence on the current and potential future state of the class 4 sector</w:t>
      </w:r>
      <w:r w:rsidR="00832900">
        <w:t>;</w:t>
      </w:r>
    </w:p>
    <w:p w:rsidR="00475725" w:rsidRPr="000D4A0C" w:rsidRDefault="004273FB" w:rsidP="000711F1">
      <w:pPr>
        <w:pStyle w:val="List123level2"/>
      </w:pPr>
      <w:r w:rsidRPr="000D4A0C">
        <w:t>develop a range of options for potential reform of the sector</w:t>
      </w:r>
      <w:r w:rsidR="002C464F" w:rsidRPr="000D4A0C">
        <w:t>, with an objective of maximising community benefit</w:t>
      </w:r>
      <w:r w:rsidR="00832900">
        <w:t>;</w:t>
      </w:r>
      <w:r w:rsidRPr="000D4A0C">
        <w:t xml:space="preserve"> </w:t>
      </w:r>
    </w:p>
    <w:p w:rsidR="004273FB" w:rsidRPr="000D4A0C" w:rsidRDefault="004273FB" w:rsidP="000711F1">
      <w:pPr>
        <w:pStyle w:val="List123"/>
      </w:pPr>
      <w:r w:rsidRPr="00524488">
        <w:rPr>
          <w:b/>
        </w:rPr>
        <w:t>agree</w:t>
      </w:r>
      <w:r w:rsidR="00AF7F80" w:rsidRPr="000D4A0C">
        <w:t xml:space="preserve"> </w:t>
      </w:r>
      <w:r w:rsidR="00F11DA4" w:rsidRPr="000D4A0C">
        <w:t>to</w:t>
      </w:r>
      <w:r w:rsidRPr="000D4A0C">
        <w:t xml:space="preserve"> consult</w:t>
      </w:r>
      <w:r w:rsidR="007B4E4B" w:rsidRPr="000D4A0C">
        <w:t>ation</w:t>
      </w:r>
      <w:r w:rsidRPr="000D4A0C">
        <w:t xml:space="preserve"> with key </w:t>
      </w:r>
      <w:r w:rsidR="007B4E4B" w:rsidRPr="000D4A0C">
        <w:t>parties</w:t>
      </w:r>
      <w:r w:rsidRPr="000D4A0C">
        <w:t xml:space="preserve"> from the </w:t>
      </w:r>
      <w:r w:rsidR="00AE4389" w:rsidRPr="000D4A0C">
        <w:t>c</w:t>
      </w:r>
      <w:r w:rsidRPr="000D4A0C">
        <w:t xml:space="preserve">lass 4 </w:t>
      </w:r>
      <w:r w:rsidR="001B2C5E" w:rsidRPr="000D4A0C">
        <w:t>sector</w:t>
      </w:r>
      <w:r w:rsidRPr="000D4A0C">
        <w:t xml:space="preserve"> on the draft terms of reference </w:t>
      </w:r>
      <w:r w:rsidR="00802496" w:rsidRPr="000D4A0C">
        <w:t xml:space="preserve">for the next phase of the review, </w:t>
      </w:r>
      <w:r w:rsidR="001B2C5E" w:rsidRPr="000D4A0C">
        <w:t>attached</w:t>
      </w:r>
      <w:r w:rsidRPr="000D4A0C">
        <w:t xml:space="preserve"> a</w:t>
      </w:r>
      <w:r w:rsidR="00802496" w:rsidRPr="000D4A0C">
        <w:t>s</w:t>
      </w:r>
      <w:r w:rsidRPr="000D4A0C">
        <w:t xml:space="preserve"> </w:t>
      </w:r>
      <w:r w:rsidRPr="00D42125">
        <w:rPr>
          <w:b/>
        </w:rPr>
        <w:t xml:space="preserve">Appendix </w:t>
      </w:r>
      <w:r w:rsidR="00B76C94" w:rsidRPr="00D42125">
        <w:rPr>
          <w:b/>
        </w:rPr>
        <w:t>A</w:t>
      </w:r>
      <w:r w:rsidR="006E69CE">
        <w:t>;</w:t>
      </w:r>
    </w:p>
    <w:p w:rsidR="00AF7F80" w:rsidRPr="000D4A0C" w:rsidRDefault="004273FB" w:rsidP="000711F1">
      <w:pPr>
        <w:pStyle w:val="List123"/>
      </w:pPr>
      <w:r w:rsidRPr="00524488">
        <w:rPr>
          <w:b/>
        </w:rPr>
        <w:t>agree</w:t>
      </w:r>
      <w:r w:rsidRPr="000D4A0C">
        <w:t xml:space="preserve"> that I report back to Cabinet</w:t>
      </w:r>
      <w:r w:rsidR="0099262D">
        <w:t xml:space="preserve"> in</w:t>
      </w:r>
      <w:r w:rsidR="005F034B" w:rsidRPr="000D4A0C">
        <w:t xml:space="preserve"> May 2016</w:t>
      </w:r>
      <w:r w:rsidRPr="000D4A0C">
        <w:t xml:space="preserve"> with a draft discussion paper and </w:t>
      </w:r>
      <w:r w:rsidR="001B2C5E" w:rsidRPr="000D4A0C">
        <w:t>engagement</w:t>
      </w:r>
      <w:r w:rsidRPr="000D4A0C">
        <w:t xml:space="preserve"> strategy </w:t>
      </w:r>
      <w:r w:rsidR="000D364A" w:rsidRPr="000D4A0C">
        <w:t>for public consultation</w:t>
      </w:r>
      <w:r w:rsidR="006E69CE">
        <w:t>; and</w:t>
      </w:r>
    </w:p>
    <w:p w:rsidR="00AF7F80" w:rsidRPr="000D4A0C" w:rsidRDefault="00AF7F80" w:rsidP="000711F1">
      <w:pPr>
        <w:pStyle w:val="List123"/>
      </w:pPr>
      <w:r w:rsidRPr="00524488">
        <w:rPr>
          <w:b/>
        </w:rPr>
        <w:lastRenderedPageBreak/>
        <w:t>note</w:t>
      </w:r>
      <w:r w:rsidRPr="000D4A0C">
        <w:t xml:space="preserve"> that I intend to proactively publish this Cabinet paper and related Cabinet decisions online </w:t>
      </w:r>
      <w:r w:rsidR="00200508" w:rsidRPr="000D4A0C">
        <w:t>after the media announcement has been made</w:t>
      </w:r>
      <w:r w:rsidRPr="000D4A0C">
        <w:t>, subject to consideration of any deletions that would be justified if the information had been requested under the Official Information Act 1982.</w:t>
      </w:r>
    </w:p>
    <w:tbl>
      <w:tblPr>
        <w:tblStyle w:val="Blanktable"/>
        <w:tblW w:w="0" w:type="auto"/>
        <w:tblLayout w:type="fixed"/>
        <w:tblLook w:val="04A0" w:firstRow="1" w:lastRow="0" w:firstColumn="1" w:lastColumn="0" w:noHBand="0" w:noVBand="1"/>
      </w:tblPr>
      <w:tblGrid>
        <w:gridCol w:w="454"/>
        <w:gridCol w:w="170"/>
        <w:gridCol w:w="454"/>
        <w:gridCol w:w="170"/>
        <w:gridCol w:w="680"/>
        <w:gridCol w:w="6430"/>
      </w:tblGrid>
      <w:tr w:rsidR="006B10D6" w:rsidRPr="00934303" w:rsidTr="00B90A0A">
        <w:trPr>
          <w:cantSplit/>
          <w:trHeight w:val="1418"/>
        </w:trPr>
        <w:tc>
          <w:tcPr>
            <w:tcW w:w="8358" w:type="dxa"/>
            <w:gridSpan w:val="6"/>
          </w:tcPr>
          <w:p w:rsidR="006B10D6" w:rsidRPr="00934303" w:rsidRDefault="006B10D6" w:rsidP="00DD51F4">
            <w:pPr>
              <w:pStyle w:val="List123"/>
              <w:numPr>
                <w:ilvl w:val="0"/>
                <w:numId w:val="0"/>
              </w:numPr>
            </w:pPr>
          </w:p>
        </w:tc>
      </w:tr>
      <w:tr w:rsidR="006B10D6" w:rsidRPr="00934303" w:rsidTr="00B90A0A">
        <w:trPr>
          <w:cantSplit/>
        </w:trPr>
        <w:tc>
          <w:tcPr>
            <w:tcW w:w="8358" w:type="dxa"/>
            <w:gridSpan w:val="6"/>
            <w:tcMar>
              <w:left w:w="0" w:type="dxa"/>
            </w:tcMar>
          </w:tcPr>
          <w:p w:rsidR="006B10D6" w:rsidRPr="00934303" w:rsidRDefault="006B10D6" w:rsidP="00B90A0A">
            <w:pPr>
              <w:pStyle w:val="Spacer"/>
            </w:pPr>
            <w:r>
              <w:t>Hon Peter Dunne</w:t>
            </w:r>
          </w:p>
        </w:tc>
      </w:tr>
      <w:tr w:rsidR="006B10D6" w:rsidRPr="00934303" w:rsidTr="00B90A0A">
        <w:trPr>
          <w:cantSplit/>
        </w:trPr>
        <w:tc>
          <w:tcPr>
            <w:tcW w:w="8358" w:type="dxa"/>
            <w:gridSpan w:val="6"/>
            <w:tcMar>
              <w:left w:w="0" w:type="dxa"/>
            </w:tcMar>
          </w:tcPr>
          <w:p w:rsidR="006B10D6" w:rsidRPr="00934303" w:rsidRDefault="006B10D6" w:rsidP="00B90A0A">
            <w:pPr>
              <w:pStyle w:val="Spacer"/>
            </w:pPr>
            <w:r>
              <w:t>Minister of Internal Affairs</w:t>
            </w:r>
          </w:p>
        </w:tc>
      </w:tr>
      <w:tr w:rsidR="006B10D6" w:rsidRPr="00934303" w:rsidTr="00B90A0A">
        <w:trPr>
          <w:cantSplit/>
          <w:trHeight w:hRule="exact" w:val="397"/>
        </w:trPr>
        <w:tc>
          <w:tcPr>
            <w:tcW w:w="454" w:type="dxa"/>
            <w:tcBorders>
              <w:bottom w:val="single" w:sz="6" w:space="0" w:color="auto"/>
            </w:tcBorders>
            <w:tcMar>
              <w:left w:w="57" w:type="dxa"/>
              <w:right w:w="57" w:type="dxa"/>
            </w:tcMar>
          </w:tcPr>
          <w:p w:rsidR="006B10D6" w:rsidRPr="00934303" w:rsidRDefault="006B10D6" w:rsidP="00B90A0A"/>
        </w:tc>
        <w:tc>
          <w:tcPr>
            <w:tcW w:w="170" w:type="dxa"/>
            <w:tcBorders>
              <w:bottom w:val="single" w:sz="6" w:space="0" w:color="auto"/>
            </w:tcBorders>
            <w:tcMar>
              <w:left w:w="57" w:type="dxa"/>
              <w:right w:w="57" w:type="dxa"/>
            </w:tcMar>
          </w:tcPr>
          <w:p w:rsidR="006B10D6" w:rsidRPr="00934303" w:rsidRDefault="006B10D6" w:rsidP="00B90A0A">
            <w:r>
              <w:t>/</w:t>
            </w:r>
          </w:p>
        </w:tc>
        <w:tc>
          <w:tcPr>
            <w:tcW w:w="454" w:type="dxa"/>
            <w:tcBorders>
              <w:bottom w:val="single" w:sz="6" w:space="0" w:color="auto"/>
            </w:tcBorders>
            <w:tcMar>
              <w:left w:w="57" w:type="dxa"/>
              <w:right w:w="57" w:type="dxa"/>
            </w:tcMar>
          </w:tcPr>
          <w:p w:rsidR="006B10D6" w:rsidRPr="00934303" w:rsidRDefault="006B10D6" w:rsidP="00B90A0A"/>
        </w:tc>
        <w:tc>
          <w:tcPr>
            <w:tcW w:w="170" w:type="dxa"/>
            <w:tcBorders>
              <w:bottom w:val="single" w:sz="6" w:space="0" w:color="auto"/>
            </w:tcBorders>
            <w:tcMar>
              <w:left w:w="57" w:type="dxa"/>
              <w:right w:w="57" w:type="dxa"/>
            </w:tcMar>
          </w:tcPr>
          <w:p w:rsidR="006B10D6" w:rsidRPr="00934303" w:rsidRDefault="006B10D6" w:rsidP="00B90A0A">
            <w:r>
              <w:t>/</w:t>
            </w:r>
          </w:p>
        </w:tc>
        <w:tc>
          <w:tcPr>
            <w:tcW w:w="680" w:type="dxa"/>
            <w:tcBorders>
              <w:bottom w:val="single" w:sz="6" w:space="0" w:color="auto"/>
            </w:tcBorders>
            <w:tcMar>
              <w:left w:w="57" w:type="dxa"/>
              <w:right w:w="57" w:type="dxa"/>
            </w:tcMar>
          </w:tcPr>
          <w:p w:rsidR="006B10D6" w:rsidRPr="00934303" w:rsidRDefault="006B10D6" w:rsidP="00B90A0A"/>
        </w:tc>
        <w:tc>
          <w:tcPr>
            <w:tcW w:w="6430" w:type="dxa"/>
            <w:tcMar>
              <w:left w:w="57" w:type="dxa"/>
              <w:right w:w="57" w:type="dxa"/>
            </w:tcMar>
          </w:tcPr>
          <w:p w:rsidR="006B10D6" w:rsidRPr="00934303" w:rsidRDefault="006B10D6" w:rsidP="00B90A0A"/>
        </w:tc>
      </w:tr>
    </w:tbl>
    <w:p w:rsidR="00AF7F80" w:rsidRPr="000D4A0C" w:rsidRDefault="00AF7F80" w:rsidP="000D4A0C"/>
    <w:p w:rsidR="00C60678" w:rsidRPr="000D4A0C" w:rsidRDefault="00C60678" w:rsidP="000D4A0C"/>
    <w:p w:rsidR="00C60678" w:rsidRPr="000D4A0C" w:rsidRDefault="00C60678" w:rsidP="000D4A0C">
      <w:r w:rsidRPr="000D4A0C">
        <w:br w:type="page"/>
      </w:r>
    </w:p>
    <w:p w:rsidR="00AF7F80" w:rsidRPr="000D4A0C" w:rsidRDefault="006E18D1" w:rsidP="00457C4B">
      <w:pPr>
        <w:pStyle w:val="Headingpage"/>
      </w:pPr>
      <w:r w:rsidRPr="000D4A0C">
        <w:lastRenderedPageBreak/>
        <w:t>Appendix A</w:t>
      </w:r>
    </w:p>
    <w:p w:rsidR="006E18D1" w:rsidRPr="000D4A0C" w:rsidRDefault="006E18D1" w:rsidP="00457C4B">
      <w:pPr>
        <w:pStyle w:val="Headingpage"/>
      </w:pPr>
      <w:r w:rsidRPr="000D4A0C">
        <w:t>Draft Terms of Reference for Review of Class 4 Gambling</w:t>
      </w:r>
    </w:p>
    <w:p w:rsidR="00D7392C" w:rsidRPr="000D4A0C" w:rsidRDefault="006E18D1" w:rsidP="00457C4B">
      <w:pPr>
        <w:pStyle w:val="Cabinetpaperparaheading"/>
      </w:pPr>
      <w:r w:rsidRPr="000D4A0C">
        <w:t xml:space="preserve">Objective of the Review </w:t>
      </w:r>
    </w:p>
    <w:p w:rsidR="005C31BD" w:rsidRPr="000D4A0C" w:rsidRDefault="006E18D1" w:rsidP="005C31BD">
      <w:r w:rsidRPr="000D4A0C">
        <w:t xml:space="preserve">The </w:t>
      </w:r>
      <w:r w:rsidR="005C31BD">
        <w:t>Department</w:t>
      </w:r>
      <w:r w:rsidRPr="000D4A0C">
        <w:t xml:space="preserve"> will </w:t>
      </w:r>
      <w:r w:rsidR="00CD7509">
        <w:t xml:space="preserve">work with the sector to </w:t>
      </w:r>
      <w:r w:rsidR="00BF37CC" w:rsidRPr="000D4A0C">
        <w:t xml:space="preserve">assess </w:t>
      </w:r>
      <w:r w:rsidRPr="000D4A0C">
        <w:t xml:space="preserve">whether the current class 4 </w:t>
      </w:r>
      <w:r w:rsidR="00BF37CC" w:rsidRPr="000D4A0C">
        <w:t xml:space="preserve">gambling </w:t>
      </w:r>
      <w:r w:rsidRPr="000D4A0C">
        <w:t>regime</w:t>
      </w:r>
      <w:r w:rsidR="00BF37CC" w:rsidRPr="000D4A0C">
        <w:t xml:space="preserve"> can deliver </w:t>
      </w:r>
      <w:r w:rsidRPr="000D4A0C">
        <w:t xml:space="preserve">sustainable </w:t>
      </w:r>
      <w:r w:rsidR="00D7392C" w:rsidRPr="000D4A0C">
        <w:t xml:space="preserve">and effectively targeted </w:t>
      </w:r>
      <w:r w:rsidRPr="000D4A0C">
        <w:t>funding to communit</w:t>
      </w:r>
      <w:r w:rsidR="00BF37CC" w:rsidRPr="000D4A0C">
        <w:t xml:space="preserve">ies into the future. </w:t>
      </w:r>
      <w:r w:rsidR="005C31BD">
        <w:t>The  outcome sought for class 4 gambling is a low cost, risk-based regulatory framework that ensures sustainable fund-raising for the community.</w:t>
      </w:r>
    </w:p>
    <w:p w:rsidR="006E18D1" w:rsidRPr="000D4A0C" w:rsidRDefault="00BF37CC" w:rsidP="000D4A0C">
      <w:r w:rsidRPr="000D4A0C">
        <w:t>In particular, the review will:</w:t>
      </w:r>
    </w:p>
    <w:p w:rsidR="00BF37CC" w:rsidRPr="000D4A0C" w:rsidRDefault="001B2C5E" w:rsidP="00457C4B">
      <w:pPr>
        <w:pStyle w:val="Bullet"/>
      </w:pPr>
      <w:r w:rsidRPr="000D4A0C">
        <w:t>test the Department’s work to date</w:t>
      </w:r>
      <w:r w:rsidR="005F034B" w:rsidRPr="000D4A0C">
        <w:t xml:space="preserve"> regarding </w:t>
      </w:r>
      <w:r w:rsidR="00BF37CC" w:rsidRPr="000D4A0C">
        <w:t>current and future trends that may affect the sustainability of community funding</w:t>
      </w:r>
    </w:p>
    <w:p w:rsidR="00BF37CC" w:rsidRPr="000D4A0C" w:rsidRDefault="001B2C5E" w:rsidP="00457C4B">
      <w:pPr>
        <w:pStyle w:val="Bullet"/>
      </w:pPr>
      <w:r w:rsidRPr="000D4A0C">
        <w:t xml:space="preserve">ensure </w:t>
      </w:r>
      <w:r w:rsidR="00BF37CC" w:rsidRPr="000D4A0C">
        <w:t xml:space="preserve">a strong evidence base </w:t>
      </w:r>
      <w:r w:rsidRPr="000D4A0C">
        <w:t xml:space="preserve">exists </w:t>
      </w:r>
      <w:r w:rsidR="00BF37CC" w:rsidRPr="000D4A0C">
        <w:t>to enable assessment of problems and options</w:t>
      </w:r>
    </w:p>
    <w:p w:rsidR="00BF37CC" w:rsidRDefault="00BF37CC" w:rsidP="00457C4B">
      <w:pPr>
        <w:pStyle w:val="Bullet"/>
      </w:pPr>
      <w:r w:rsidRPr="000D4A0C">
        <w:t>assess a range of options to ensure the future sustainability and effectiveness of funding to communities</w:t>
      </w:r>
    </w:p>
    <w:p w:rsidR="00AC7793" w:rsidRPr="000D4A0C" w:rsidRDefault="00AC7793" w:rsidP="00457C4B">
      <w:pPr>
        <w:pStyle w:val="Cabinetpaperparaheading"/>
      </w:pPr>
      <w:r w:rsidRPr="000D4A0C">
        <w:t>In scope</w:t>
      </w:r>
    </w:p>
    <w:p w:rsidR="00BF37CC" w:rsidRPr="000D4A0C" w:rsidRDefault="00BA3835" w:rsidP="000D4A0C">
      <w:r w:rsidRPr="000D4A0C">
        <w:t>The Review will include consideration of:</w:t>
      </w:r>
    </w:p>
    <w:p w:rsidR="0063093B" w:rsidRPr="0063093B" w:rsidRDefault="0063093B" w:rsidP="0063093B">
      <w:pPr>
        <w:pStyle w:val="Bullet"/>
      </w:pPr>
      <w:r w:rsidRPr="0063093B">
        <w:t>the legislative framework for class 4 gambling</w:t>
      </w:r>
    </w:p>
    <w:p w:rsidR="00CD7509" w:rsidRDefault="00CD7509" w:rsidP="00457C4B">
      <w:pPr>
        <w:pStyle w:val="Bullet"/>
      </w:pPr>
      <w:r>
        <w:t xml:space="preserve">sector </w:t>
      </w:r>
      <w:r w:rsidR="004E5622">
        <w:t>views</w:t>
      </w:r>
      <w:r>
        <w:t xml:space="preserve"> on the current state of </w:t>
      </w:r>
      <w:r w:rsidR="004E5622">
        <w:t xml:space="preserve">the </w:t>
      </w:r>
      <w:r>
        <w:t>class 4 gambling</w:t>
      </w:r>
      <w:r w:rsidR="004E5622">
        <w:t xml:space="preserve"> environment</w:t>
      </w:r>
      <w:r>
        <w:t>, including future challenges and opportun</w:t>
      </w:r>
      <w:r w:rsidR="005C31BD">
        <w:t>i</w:t>
      </w:r>
      <w:r>
        <w:t>ties</w:t>
      </w:r>
    </w:p>
    <w:p w:rsidR="00BA3835" w:rsidRPr="000D4A0C" w:rsidRDefault="00D7392C" w:rsidP="00457C4B">
      <w:pPr>
        <w:pStyle w:val="Bullet"/>
      </w:pPr>
      <w:r w:rsidRPr="000D4A0C">
        <w:t>n</w:t>
      </w:r>
      <w:r w:rsidR="00BA3835" w:rsidRPr="000D4A0C">
        <w:t>on-regulatory options for the sector and government to improve current practice</w:t>
      </w:r>
    </w:p>
    <w:p w:rsidR="00BA3835" w:rsidRPr="000D4A0C" w:rsidRDefault="00D7392C" w:rsidP="00457C4B">
      <w:pPr>
        <w:pStyle w:val="Bullet"/>
      </w:pPr>
      <w:r w:rsidRPr="000D4A0C">
        <w:t>t</w:t>
      </w:r>
      <w:r w:rsidR="00BA3835" w:rsidRPr="000D4A0C">
        <w:t xml:space="preserve">he amount of funding going to communities, and means to ensure the funding is targeted and effective in </w:t>
      </w:r>
      <w:r w:rsidR="002C464F" w:rsidRPr="000D4A0C">
        <w:t>maximising benefits to the community</w:t>
      </w:r>
    </w:p>
    <w:p w:rsidR="00AC7793" w:rsidRPr="000D4A0C" w:rsidRDefault="00D7392C" w:rsidP="00457C4B">
      <w:pPr>
        <w:pStyle w:val="Bullet"/>
      </w:pPr>
      <w:r w:rsidRPr="000D4A0C">
        <w:t>p</w:t>
      </w:r>
      <w:r w:rsidR="00BA3835" w:rsidRPr="000D4A0C">
        <w:t xml:space="preserve">rovisions to ensure minimisation of harm from gambling </w:t>
      </w:r>
    </w:p>
    <w:p w:rsidR="00BA3835" w:rsidRPr="000D4A0C" w:rsidRDefault="00D7392C" w:rsidP="00457C4B">
      <w:pPr>
        <w:pStyle w:val="Bullet"/>
      </w:pPr>
      <w:r w:rsidRPr="000D4A0C">
        <w:t>a</w:t>
      </w:r>
      <w:r w:rsidR="00BA3835" w:rsidRPr="000D4A0C">
        <w:t>n assessment of trend</w:t>
      </w:r>
      <w:r w:rsidRPr="000D4A0C">
        <w:t>s</w:t>
      </w:r>
      <w:r w:rsidR="00BA3835" w:rsidRPr="000D4A0C">
        <w:t xml:space="preserve"> and issues around online gambling</w:t>
      </w:r>
      <w:r w:rsidR="00AE6F48" w:rsidRPr="000D4A0C">
        <w:t>,</w:t>
      </w:r>
      <w:r w:rsidR="00BA3835" w:rsidRPr="000D4A0C">
        <w:t xml:space="preserve"> </w:t>
      </w:r>
      <w:r w:rsidR="00AE6F48" w:rsidRPr="000D4A0C">
        <w:t>including any impacts on class 4 gambling</w:t>
      </w:r>
      <w:r w:rsidR="005C31BD">
        <w:t>. The review also may consider some wider online gambling issues, including potential online options for Class 3 gambling operators.</w:t>
      </w:r>
    </w:p>
    <w:p w:rsidR="00AC7793" w:rsidRPr="000D4A0C" w:rsidRDefault="00AC7793" w:rsidP="00B1189E">
      <w:pPr>
        <w:pStyle w:val="Cabinetpaperparaheading"/>
      </w:pPr>
      <w:r w:rsidRPr="000D4A0C">
        <w:t>Development of options</w:t>
      </w:r>
    </w:p>
    <w:p w:rsidR="00AC7793" w:rsidRPr="000D4A0C" w:rsidRDefault="00AC7793" w:rsidP="000D4A0C">
      <w:r w:rsidRPr="000D4A0C">
        <w:t xml:space="preserve">The </w:t>
      </w:r>
      <w:r w:rsidR="007E3605" w:rsidRPr="000D4A0C">
        <w:t xml:space="preserve">class 4 </w:t>
      </w:r>
      <w:r w:rsidRPr="000D4A0C">
        <w:t>sector</w:t>
      </w:r>
      <w:r w:rsidR="002C464F" w:rsidRPr="000D4A0C">
        <w:t xml:space="preserve">, including </w:t>
      </w:r>
      <w:r w:rsidR="00255B88" w:rsidRPr="000D4A0C">
        <w:t xml:space="preserve">representatives from clubs, </w:t>
      </w:r>
      <w:r w:rsidR="002C464F" w:rsidRPr="000D4A0C">
        <w:t>problem gambling service providers, consumer representatives,</w:t>
      </w:r>
      <w:r w:rsidRPr="000D4A0C">
        <w:t xml:space="preserve"> and </w:t>
      </w:r>
      <w:r w:rsidR="002C464F" w:rsidRPr="000D4A0C">
        <w:t xml:space="preserve">the </w:t>
      </w:r>
      <w:r w:rsidRPr="000D4A0C">
        <w:t xml:space="preserve">public will be invited to </w:t>
      </w:r>
      <w:r w:rsidR="000B6806" w:rsidRPr="000D4A0C">
        <w:t xml:space="preserve">contribute to the problem definition and </w:t>
      </w:r>
      <w:r w:rsidRPr="000D4A0C">
        <w:t xml:space="preserve">suggest options for reform, in addition to any options generated by officials. Options will be developed in good faith and discussed with the sector before any final </w:t>
      </w:r>
      <w:r w:rsidR="00BA3835" w:rsidRPr="000D4A0C">
        <w:t>recommendations</w:t>
      </w:r>
      <w:r w:rsidRPr="000D4A0C">
        <w:t xml:space="preserve"> for change are made to Ministers.</w:t>
      </w:r>
    </w:p>
    <w:p w:rsidR="00D7392C" w:rsidRPr="000D4A0C" w:rsidRDefault="00D7392C" w:rsidP="00B1189E">
      <w:pPr>
        <w:pStyle w:val="Cabinetpaperparaheading"/>
      </w:pPr>
      <w:r w:rsidRPr="000D4A0C">
        <w:t xml:space="preserve">Approach to engagement </w:t>
      </w:r>
    </w:p>
    <w:p w:rsidR="00046741" w:rsidRPr="000D4A0C" w:rsidRDefault="005C31BD" w:rsidP="000D4A0C">
      <w:r>
        <w:t xml:space="preserve">This draft terms of reference will be discussed with the sector before being finalised. </w:t>
      </w:r>
      <w:r w:rsidR="00D7392C" w:rsidRPr="000D4A0C">
        <w:t xml:space="preserve">A public discussion paper will </w:t>
      </w:r>
      <w:r>
        <w:t xml:space="preserve">then </w:t>
      </w:r>
      <w:r w:rsidR="00D7392C" w:rsidRPr="000D4A0C">
        <w:t>be released to invite submissions. The Department will</w:t>
      </w:r>
      <w:r w:rsidR="00EA7AEC">
        <w:t xml:space="preserve"> </w:t>
      </w:r>
      <w:r w:rsidR="00D7392C" w:rsidRPr="000D4A0C">
        <w:t>work collaboratively with the sector</w:t>
      </w:r>
      <w:r w:rsidR="001B2C5E" w:rsidRPr="000D4A0C">
        <w:t xml:space="preserve"> as far as possible</w:t>
      </w:r>
      <w:r w:rsidR="00D7392C" w:rsidRPr="000D4A0C">
        <w:t>, which will include:</w:t>
      </w:r>
    </w:p>
    <w:p w:rsidR="00D7392C" w:rsidRPr="000D4A0C" w:rsidRDefault="00D7392C" w:rsidP="00B1189E">
      <w:pPr>
        <w:pStyle w:val="Bullet"/>
      </w:pPr>
      <w:r w:rsidRPr="000D4A0C">
        <w:lastRenderedPageBreak/>
        <w:t>focused face-to-face engagement</w:t>
      </w:r>
      <w:r w:rsidR="000B6806" w:rsidRPr="000D4A0C">
        <w:t>, including workshops, with a broad range of sector groups</w:t>
      </w:r>
    </w:p>
    <w:p w:rsidR="00D7392C" w:rsidRPr="000D4A0C" w:rsidRDefault="00D7392C" w:rsidP="00B1189E">
      <w:pPr>
        <w:pStyle w:val="Bullet"/>
      </w:pPr>
      <w:r w:rsidRPr="000D4A0C">
        <w:t>canvassing the sector’s ideas for definition of problems and development of options</w:t>
      </w:r>
    </w:p>
    <w:p w:rsidR="00D7392C" w:rsidRDefault="00D7392C" w:rsidP="00B1189E">
      <w:pPr>
        <w:pStyle w:val="Bullet"/>
      </w:pPr>
      <w:r w:rsidRPr="000D4A0C">
        <w:t>a ‘no suprises’ approach to development of options.</w:t>
      </w:r>
    </w:p>
    <w:p w:rsidR="00EA7AEC" w:rsidRPr="000D4A0C" w:rsidRDefault="00EA7AEC" w:rsidP="005C31BD">
      <w:r>
        <w:t xml:space="preserve">Following </w:t>
      </w:r>
      <w:r w:rsidR="005C31BD">
        <w:t>the engagement process</w:t>
      </w:r>
      <w:r>
        <w:t xml:space="preserve">, </w:t>
      </w:r>
      <w:r w:rsidR="005C31BD">
        <w:t xml:space="preserve">the Department </w:t>
      </w:r>
      <w:r w:rsidR="004E5622">
        <w:t xml:space="preserve">will report back to the Government </w:t>
      </w:r>
      <w:r w:rsidR="005C31BD">
        <w:t xml:space="preserve">in late </w:t>
      </w:r>
      <w:r w:rsidR="004E5622">
        <w:t>2016</w:t>
      </w:r>
      <w:r w:rsidR="005C31BD">
        <w:t xml:space="preserve"> on next steps.</w:t>
      </w:r>
    </w:p>
    <w:sectPr w:rsidR="00EA7AEC" w:rsidRPr="000D4A0C" w:rsidSect="002D38AA">
      <w:headerReference w:type="even" r:id="rId12"/>
      <w:headerReference w:type="default" r:id="rId13"/>
      <w:footerReference w:type="even" r:id="rId14"/>
      <w:footerReference w:type="default" r:id="rId15"/>
      <w:headerReference w:type="first" r:id="rId16"/>
      <w:footerReference w:type="first" r:id="rId17"/>
      <w:pgSz w:w="11907" w:h="16840" w:code="9"/>
      <w:pgMar w:top="1021" w:right="1418" w:bottom="992" w:left="1418" w:header="425"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D8" w:rsidRDefault="00EB58D8">
      <w:r>
        <w:separator/>
      </w:r>
    </w:p>
    <w:p w:rsidR="00EB58D8" w:rsidRDefault="00EB58D8"/>
    <w:p w:rsidR="00EB58D8" w:rsidRDefault="00EB58D8"/>
    <w:p w:rsidR="00EB58D8" w:rsidRDefault="00EB58D8"/>
  </w:endnote>
  <w:endnote w:type="continuationSeparator" w:id="0">
    <w:p w:rsidR="00EB58D8" w:rsidRDefault="00EB58D8">
      <w:r>
        <w:continuationSeparator/>
      </w:r>
    </w:p>
    <w:p w:rsidR="00EB58D8" w:rsidRDefault="00EB58D8"/>
    <w:p w:rsidR="00EB58D8" w:rsidRDefault="00EB58D8"/>
    <w:p w:rsidR="00EB58D8" w:rsidRDefault="00EB5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73" w:rsidRDefault="003E2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4B" w:rsidRDefault="00457C4B" w:rsidP="002D38AA">
    <w:pPr>
      <w:pStyle w:val="Footer"/>
      <w:tabs>
        <w:tab w:val="right" w:pos="9071"/>
      </w:tabs>
      <w:ind w:right="-1"/>
    </w:pPr>
    <w:r>
      <w:tab/>
      <w:t xml:space="preserve">Page </w:t>
    </w:r>
    <w:r>
      <w:fldChar w:fldCharType="begin"/>
    </w:r>
    <w:r>
      <w:instrText xml:space="preserve"> PAGE  \* Arabic  \* MERGEFORMAT </w:instrText>
    </w:r>
    <w:r>
      <w:fldChar w:fldCharType="separate"/>
    </w:r>
    <w:r w:rsidR="003E2E73">
      <w:rPr>
        <w:noProof/>
      </w:rPr>
      <w:t>2</w:t>
    </w:r>
    <w:r>
      <w:fldChar w:fldCharType="end"/>
    </w:r>
    <w:r>
      <w:t xml:space="preserve"> of </w:t>
    </w:r>
    <w:fldSimple w:instr=" NUMPAGES   \* MERGEFORMAT ">
      <w:r w:rsidR="003E2E73">
        <w:rPr>
          <w:noProof/>
        </w:rPr>
        <w:t>13</w:t>
      </w:r>
    </w:fldSimple>
  </w:p>
  <w:p w:rsidR="00457C4B" w:rsidRDefault="00457C4B" w:rsidP="00A0279D">
    <w:pPr>
      <w:pStyle w:val="Footer"/>
      <w:tabs>
        <w:tab w:val="right" w:pos="9071"/>
      </w:tabs>
      <w:ind w:right="-1"/>
    </w:pPr>
  </w:p>
  <w:p w:rsidR="00457C4B" w:rsidRDefault="00457C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73" w:rsidRDefault="003E2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D8" w:rsidRDefault="00EB58D8" w:rsidP="00C347BF">
      <w:pPr>
        <w:pStyle w:val="Spacer"/>
      </w:pPr>
      <w:r>
        <w:separator/>
      </w:r>
    </w:p>
    <w:p w:rsidR="00EB58D8" w:rsidRDefault="00EB58D8"/>
  </w:footnote>
  <w:footnote w:type="continuationSeparator" w:id="0">
    <w:p w:rsidR="00EB58D8" w:rsidRDefault="00EB58D8">
      <w:r>
        <w:continuationSeparator/>
      </w:r>
    </w:p>
    <w:p w:rsidR="00EB58D8" w:rsidRDefault="00EB58D8"/>
    <w:p w:rsidR="00EB58D8" w:rsidRDefault="00EB58D8"/>
    <w:p w:rsidR="00EB58D8" w:rsidRDefault="00EB58D8"/>
  </w:footnote>
  <w:footnote w:id="1">
    <w:p w:rsidR="00D42125" w:rsidRDefault="00D42125">
      <w:pPr>
        <w:pStyle w:val="FootnoteText"/>
      </w:pPr>
      <w:r>
        <w:rPr>
          <w:rStyle w:val="FootnoteReference"/>
        </w:rPr>
        <w:footnoteRef/>
      </w:r>
      <w:r>
        <w:t xml:space="preserve"> Currently, domestic online gambling is limited to specific offerings by the New Zealand Lotteries Commission (MyLotto) and New Zealand Racing Board (via TAB).</w:t>
      </w:r>
    </w:p>
  </w:footnote>
  <w:footnote w:id="2">
    <w:p w:rsidR="000579BD" w:rsidRDefault="000579BD">
      <w:pPr>
        <w:pStyle w:val="FootnoteText"/>
      </w:pPr>
      <w:r>
        <w:rPr>
          <w:rStyle w:val="FootnoteReference"/>
        </w:rPr>
        <w:footnoteRef/>
      </w:r>
      <w:r>
        <w:t xml:space="preserve"> Gaming machines operate in clubs and ‘non-clubs’. Clubs include chartered clubs, sports clubs and RSAs with their own purposes for gaming proceeds generated. However, the majority of machines operate in non-club, commercial venues (especially pubs and TABs). The review has a particular focus on non-clubs, as they represent the majority of the sector, have a unique relationship with commercial operators, and manage returns to communities via contestable grant processes. References to expenditure data, proceeds generated from class 4 gambling and other indicators noted in this paper relate to the whole sector, unless stated.</w:t>
      </w:r>
    </w:p>
  </w:footnote>
  <w:footnote w:id="3">
    <w:p w:rsidR="000579BD" w:rsidRDefault="000579BD">
      <w:pPr>
        <w:pStyle w:val="FootnoteText"/>
      </w:pPr>
      <w:r>
        <w:rPr>
          <w:rStyle w:val="FootnoteReference"/>
        </w:rPr>
        <w:footnoteRef/>
      </w:r>
      <w:r>
        <w:t xml:space="preserve"> In addition, clubs are returning around $50 million per annum of net proceeds to their own purposes</w:t>
      </w:r>
      <w:r w:rsidR="00E72BE6">
        <w:t>.</w:t>
      </w:r>
    </w:p>
  </w:footnote>
  <w:footnote w:id="4">
    <w:p w:rsidR="000579BD" w:rsidRDefault="000579BD">
      <w:pPr>
        <w:pStyle w:val="FootnoteText"/>
      </w:pPr>
      <w:r>
        <w:rPr>
          <w:rStyle w:val="FootnoteReference"/>
        </w:rPr>
        <w:footnoteRef/>
      </w:r>
      <w:r>
        <w:t xml:space="preserve"> Total excludes distributions by clubs to their own purposes</w:t>
      </w:r>
      <w:r w:rsidR="00E72BE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73" w:rsidRDefault="003E2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4B" w:rsidRPr="002D38AA" w:rsidRDefault="00457C4B" w:rsidP="002D38AA">
    <w:pPr>
      <w:pStyle w:val="Headerforcabinetpapers"/>
    </w:pPr>
    <w:r>
      <w:t>in-confidence</w:t>
    </w:r>
  </w:p>
  <w:p w:rsidR="00457C4B" w:rsidRDefault="00457C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4B" w:rsidRPr="00C64BA9" w:rsidRDefault="00457C4B" w:rsidP="00C64BA9">
    <w:pPr>
      <w:pStyle w:val="Header"/>
      <w:tabs>
        <w:tab w:val="center" w:pos="4536"/>
      </w:tabs>
      <w:rPr>
        <w:rStyle w:val="Footersecurityclassification"/>
        <w:i/>
      </w:rPr>
    </w:pPr>
    <w:r>
      <w:rPr>
        <w:rStyle w:val="Footersecurityclassification"/>
        <w:i/>
      </w:rPr>
      <w:tab/>
    </w:r>
    <w:r w:rsidRPr="00C64BA9">
      <w:rPr>
        <w:rStyle w:val="Footersecurityclassification"/>
      </w:rPr>
      <w:t>&lt;insert security classification&gt;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02BA46F3"/>
    <w:multiLevelType w:val="multilevel"/>
    <w:tmpl w:val="96662BF2"/>
    <w:lvl w:ilvl="0">
      <w:start w:val="1"/>
      <w:numFmt w:val="decimal"/>
      <w:lvlText w:val="%1."/>
      <w:lvlJc w:val="left"/>
      <w:pPr>
        <w:ind w:left="567" w:hanging="567"/>
      </w:pPr>
      <w:rPr>
        <w:rFonts w:hint="default"/>
      </w:rPr>
    </w:lvl>
    <w:lvl w:ilvl="1">
      <w:start w:val="1"/>
      <w:numFmt w:val="decimal"/>
      <w:lvlText w:val="%1.%2"/>
      <w:lvlJc w:val="left"/>
      <w:pPr>
        <w:ind w:left="1247" w:hanging="680"/>
      </w:pPr>
      <w:rPr>
        <w:rFonts w:hint="default"/>
      </w:rPr>
    </w:lvl>
    <w:lvl w:ilvl="2">
      <w:start w:val="1"/>
      <w:numFmt w:val="decimal"/>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nsid w:val="0B1F50FE"/>
    <w:multiLevelType w:val="hybridMultilevel"/>
    <w:tmpl w:val="981C0D56"/>
    <w:lvl w:ilvl="0" w:tplc="F37A4368">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0C4F5FDE"/>
    <w:multiLevelType w:val="hybridMultilevel"/>
    <w:tmpl w:val="356E2D3A"/>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7688DD70">
      <w:start w:val="27"/>
      <w:numFmt w:val="bullet"/>
      <w:lvlText w:val="-"/>
      <w:lvlJc w:val="left"/>
      <w:pPr>
        <w:ind w:left="1800" w:hanging="360"/>
      </w:pPr>
      <w:rPr>
        <w:rFonts w:ascii="Calibri" w:eastAsiaTheme="minorHAnsi" w:hAnsi="Calibri" w:cstheme="minorBidi"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2591765A"/>
    <w:multiLevelType w:val="hybridMultilevel"/>
    <w:tmpl w:val="358EF7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68F5832"/>
    <w:multiLevelType w:val="multilevel"/>
    <w:tmpl w:val="DBFC12C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374F1B62"/>
    <w:multiLevelType w:val="multilevel"/>
    <w:tmpl w:val="C5EC6DBA"/>
    <w:lvl w:ilvl="0">
      <w:start w:val="1"/>
      <w:numFmt w:val="decimal"/>
      <w:pStyle w:val="Numberedpara3level1"/>
      <w:lvlText w:val="%1."/>
      <w:lvlJc w:val="left"/>
      <w:pPr>
        <w:tabs>
          <w:tab w:val="num" w:pos="567"/>
        </w:tabs>
        <w:ind w:left="567" w:hanging="567"/>
      </w:pPr>
      <w:rPr>
        <w:rFonts w:hint="default"/>
      </w:rPr>
    </w:lvl>
    <w:lvl w:ilvl="1">
      <w:start w:val="1"/>
      <w:numFmt w:val="decimal"/>
      <w:pStyle w:val="Numberedpara3level211"/>
      <w:lvlText w:val="%1.%2"/>
      <w:lvlJc w:val="left"/>
      <w:pPr>
        <w:ind w:left="924" w:hanging="357"/>
      </w:pPr>
      <w:rPr>
        <w:rFonts w:hint="default"/>
      </w:rPr>
    </w:lvl>
    <w:lvl w:ilvl="2">
      <w:start w:val="1"/>
      <w:numFmt w:val="decimal"/>
      <w:pStyle w:val="Numberedpara3level3111"/>
      <w:lvlText w:val="%1.%2.%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7EC6D4D"/>
    <w:multiLevelType w:val="hybridMultilevel"/>
    <w:tmpl w:val="D446210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9737F85"/>
    <w:multiLevelType w:val="hybridMultilevel"/>
    <w:tmpl w:val="A7DABF38"/>
    <w:lvl w:ilvl="0" w:tplc="6B4827BA">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nsid w:val="6B2A7B0B"/>
    <w:multiLevelType w:val="multilevel"/>
    <w:tmpl w:val="807EF708"/>
    <w:lvl w:ilvl="0">
      <w:start w:val="1"/>
      <w:numFmt w:val="decimal"/>
      <w:pStyle w:val="List123"/>
      <w:lvlText w:val="%1."/>
      <w:lvlJc w:val="left"/>
      <w:pPr>
        <w:ind w:left="1134" w:hanging="567"/>
      </w:pPr>
      <w:rPr>
        <w:rFonts w:hint="default"/>
      </w:rPr>
    </w:lvl>
    <w:lvl w:ilvl="1">
      <w:start w:val="1"/>
      <w:numFmt w:val="decimal"/>
      <w:pStyle w:val="List123level2"/>
      <w:lvlText w:val="%1.%2"/>
      <w:lvlJc w:val="left"/>
      <w:pPr>
        <w:tabs>
          <w:tab w:val="num" w:pos="1304"/>
        </w:tabs>
        <w:ind w:left="1871" w:hanging="737"/>
      </w:pPr>
      <w:rPr>
        <w:rFonts w:hint="default"/>
      </w:rPr>
    </w:lvl>
    <w:lvl w:ilvl="2">
      <w:start w:val="1"/>
      <w:numFmt w:val="decimal"/>
      <w:pStyle w:val="List123level3"/>
      <w:lvlText w:val="%1.%2.%3"/>
      <w:lvlJc w:val="left"/>
      <w:pPr>
        <w:ind w:left="2778" w:hanging="90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3"/>
  </w:num>
  <w:num w:numId="11">
    <w:abstractNumId w:val="24"/>
  </w:num>
  <w:num w:numId="12">
    <w:abstractNumId w:val="19"/>
  </w:num>
  <w:num w:numId="13">
    <w:abstractNumId w:val="15"/>
  </w:num>
  <w:num w:numId="14">
    <w:abstractNumId w:val="25"/>
  </w:num>
  <w:num w:numId="15">
    <w:abstractNumId w:val="27"/>
  </w:num>
  <w:num w:numId="16">
    <w:abstractNumId w:val="29"/>
  </w:num>
  <w:num w:numId="17">
    <w:abstractNumId w:val="10"/>
  </w:num>
  <w:num w:numId="18">
    <w:abstractNumId w:val="17"/>
  </w:num>
  <w:num w:numId="19">
    <w:abstractNumId w:val="18"/>
  </w:num>
  <w:num w:numId="20">
    <w:abstractNumId w:val="14"/>
  </w:num>
  <w:num w:numId="21">
    <w:abstractNumId w:val="30"/>
  </w:num>
  <w:num w:numId="22">
    <w:abstractNumId w:val="28"/>
  </w:num>
  <w:num w:numId="23">
    <w:abstractNumId w:val="26"/>
  </w:num>
  <w:num w:numId="24">
    <w:abstractNumId w:val="21"/>
  </w:num>
  <w:num w:numId="25">
    <w:abstractNumId w:val="18"/>
  </w:num>
  <w:num w:numId="26">
    <w:abstractNumId w:val="12"/>
  </w:num>
  <w:num w:numId="27">
    <w:abstractNumId w:val="18"/>
    <w:lvlOverride w:ilvl="0">
      <w:lvl w:ilvl="0">
        <w:start w:val="1"/>
        <w:numFmt w:val="decimal"/>
        <w:pStyle w:val="Numberedpara3level1"/>
        <w:lvlText w:val="%1."/>
        <w:lvlJc w:val="left"/>
        <w:pPr>
          <w:tabs>
            <w:tab w:val="num" w:pos="567"/>
          </w:tabs>
          <w:ind w:left="567" w:hanging="567"/>
        </w:pPr>
        <w:rPr>
          <w:rFonts w:hint="default"/>
        </w:rPr>
      </w:lvl>
    </w:lvlOverride>
    <w:lvlOverride w:ilvl="1">
      <w:lvl w:ilvl="1">
        <w:start w:val="1"/>
        <w:numFmt w:val="decimal"/>
        <w:pStyle w:val="Numberedpara3level211"/>
        <w:lvlText w:val="%1.%2"/>
        <w:lvlJc w:val="left"/>
        <w:pPr>
          <w:ind w:left="1304" w:hanging="737"/>
        </w:pPr>
        <w:rPr>
          <w:rFonts w:hint="default"/>
        </w:rPr>
      </w:lvl>
    </w:lvlOverride>
    <w:lvlOverride w:ilvl="2">
      <w:lvl w:ilvl="2">
        <w:start w:val="1"/>
        <w:numFmt w:val="decimal"/>
        <w:pStyle w:val="Numberedpara3level3111"/>
        <w:lvlText w:val="%1.%2.%3"/>
        <w:lvlJc w:val="left"/>
        <w:pPr>
          <w:ind w:left="2211" w:hanging="90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1"/>
  </w:num>
  <w:num w:numId="29">
    <w:abstractNumId w:val="13"/>
  </w:num>
  <w:num w:numId="30">
    <w:abstractNumId w:val="20"/>
  </w:num>
  <w:num w:numId="31">
    <w:abstractNumId w:val="16"/>
  </w:num>
  <w:num w:numId="32">
    <w:abstractNumId w:val="25"/>
  </w:num>
  <w:num w:numId="33">
    <w:abstractNumId w:val="25"/>
  </w:num>
  <w:num w:numId="34">
    <w:abstractNumId w:val="25"/>
  </w:num>
  <w:num w:numId="35">
    <w:abstractNumId w:val="9"/>
  </w:num>
  <w:num w:numId="36">
    <w:abstractNumId w:val="18"/>
  </w:num>
  <w:num w:numId="37">
    <w:abstractNumId w:val="22"/>
  </w:num>
  <w:num w:numId="38">
    <w:abstractNumId w:val="14"/>
  </w:num>
  <w:num w:numId="39">
    <w:abstractNumId w:val="30"/>
  </w:num>
  <w:num w:numId="40">
    <w:abstractNumId w:val="30"/>
  </w:num>
  <w:num w:numId="41">
    <w:abstractNumId w:val="28"/>
  </w:num>
  <w:num w:numId="42">
    <w:abstractNumId w:val="28"/>
  </w:num>
  <w:num w:numId="43">
    <w:abstractNumId w:val="21"/>
  </w:num>
  <w:num w:numId="44">
    <w:abstractNumId w:val="26"/>
  </w:num>
  <w:num w:numId="45">
    <w:abstractNumId w:val="21"/>
  </w:num>
  <w:num w:numId="46">
    <w:abstractNumId w:val="21"/>
  </w:num>
  <w:num w:numId="47">
    <w:abstractNumId w:val="18"/>
  </w:num>
  <w:num w:numId="48">
    <w:abstractNumId w:val="18"/>
  </w:num>
  <w:num w:numId="49">
    <w:abstractNumId w:val="18"/>
  </w:num>
  <w:num w:numId="5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1C"/>
    <w:rsid w:val="000006C6"/>
    <w:rsid w:val="00002BDD"/>
    <w:rsid w:val="00003360"/>
    <w:rsid w:val="000052B7"/>
    <w:rsid w:val="00005919"/>
    <w:rsid w:val="0000786E"/>
    <w:rsid w:val="00011D42"/>
    <w:rsid w:val="00012070"/>
    <w:rsid w:val="00012F10"/>
    <w:rsid w:val="00015020"/>
    <w:rsid w:val="0001647B"/>
    <w:rsid w:val="00016514"/>
    <w:rsid w:val="000171B7"/>
    <w:rsid w:val="00017822"/>
    <w:rsid w:val="00020010"/>
    <w:rsid w:val="00023E72"/>
    <w:rsid w:val="00025E45"/>
    <w:rsid w:val="00031C70"/>
    <w:rsid w:val="00031EAC"/>
    <w:rsid w:val="00032A86"/>
    <w:rsid w:val="00033BEF"/>
    <w:rsid w:val="00034673"/>
    <w:rsid w:val="00035205"/>
    <w:rsid w:val="00036671"/>
    <w:rsid w:val="00036C43"/>
    <w:rsid w:val="00037226"/>
    <w:rsid w:val="000409E2"/>
    <w:rsid w:val="00042470"/>
    <w:rsid w:val="00043795"/>
    <w:rsid w:val="00044EA1"/>
    <w:rsid w:val="00046741"/>
    <w:rsid w:val="0005649A"/>
    <w:rsid w:val="000573CF"/>
    <w:rsid w:val="000573FE"/>
    <w:rsid w:val="000579BD"/>
    <w:rsid w:val="00063837"/>
    <w:rsid w:val="00063BB2"/>
    <w:rsid w:val="00065F18"/>
    <w:rsid w:val="0006669F"/>
    <w:rsid w:val="00067005"/>
    <w:rsid w:val="000711F1"/>
    <w:rsid w:val="00076035"/>
    <w:rsid w:val="000761DF"/>
    <w:rsid w:val="00077013"/>
    <w:rsid w:val="00090E69"/>
    <w:rsid w:val="00091C3A"/>
    <w:rsid w:val="0009249F"/>
    <w:rsid w:val="000A50F4"/>
    <w:rsid w:val="000A7441"/>
    <w:rsid w:val="000B0A6E"/>
    <w:rsid w:val="000B1BC4"/>
    <w:rsid w:val="000B2C1B"/>
    <w:rsid w:val="000B6806"/>
    <w:rsid w:val="000C5859"/>
    <w:rsid w:val="000C6803"/>
    <w:rsid w:val="000D364A"/>
    <w:rsid w:val="000D4A0C"/>
    <w:rsid w:val="000D61F6"/>
    <w:rsid w:val="000D75CD"/>
    <w:rsid w:val="000D7C06"/>
    <w:rsid w:val="000E04C4"/>
    <w:rsid w:val="000E12FE"/>
    <w:rsid w:val="000E3240"/>
    <w:rsid w:val="000E5632"/>
    <w:rsid w:val="000E677B"/>
    <w:rsid w:val="000E6FD2"/>
    <w:rsid w:val="000F0B66"/>
    <w:rsid w:val="000F116E"/>
    <w:rsid w:val="000F2220"/>
    <w:rsid w:val="000F2EDB"/>
    <w:rsid w:val="000F35CA"/>
    <w:rsid w:val="000F4912"/>
    <w:rsid w:val="000F4ADF"/>
    <w:rsid w:val="000F61AF"/>
    <w:rsid w:val="000F75BC"/>
    <w:rsid w:val="00100D3A"/>
    <w:rsid w:val="0010171C"/>
    <w:rsid w:val="001017EC"/>
    <w:rsid w:val="001018F7"/>
    <w:rsid w:val="00102FAD"/>
    <w:rsid w:val="00117923"/>
    <w:rsid w:val="001212C9"/>
    <w:rsid w:val="00121870"/>
    <w:rsid w:val="00121CC9"/>
    <w:rsid w:val="00127B80"/>
    <w:rsid w:val="001316D1"/>
    <w:rsid w:val="00134401"/>
    <w:rsid w:val="00136D9C"/>
    <w:rsid w:val="00140ED2"/>
    <w:rsid w:val="00142262"/>
    <w:rsid w:val="00143E7C"/>
    <w:rsid w:val="001444F2"/>
    <w:rsid w:val="001465F6"/>
    <w:rsid w:val="00152014"/>
    <w:rsid w:val="001535D7"/>
    <w:rsid w:val="001539BE"/>
    <w:rsid w:val="00155769"/>
    <w:rsid w:val="001579FD"/>
    <w:rsid w:val="00161141"/>
    <w:rsid w:val="0016433D"/>
    <w:rsid w:val="00165558"/>
    <w:rsid w:val="001701F1"/>
    <w:rsid w:val="00171728"/>
    <w:rsid w:val="00171E81"/>
    <w:rsid w:val="00174979"/>
    <w:rsid w:val="00177AEE"/>
    <w:rsid w:val="0018177A"/>
    <w:rsid w:val="00184C0F"/>
    <w:rsid w:val="001A0364"/>
    <w:rsid w:val="001A0D5F"/>
    <w:rsid w:val="001A0E0B"/>
    <w:rsid w:val="001A16A4"/>
    <w:rsid w:val="001A2744"/>
    <w:rsid w:val="001A5F55"/>
    <w:rsid w:val="001A6F62"/>
    <w:rsid w:val="001B2C5E"/>
    <w:rsid w:val="001B369D"/>
    <w:rsid w:val="001B3CAD"/>
    <w:rsid w:val="001B7B0F"/>
    <w:rsid w:val="001C0031"/>
    <w:rsid w:val="001C0C30"/>
    <w:rsid w:val="001C4E22"/>
    <w:rsid w:val="001D0111"/>
    <w:rsid w:val="001D13CA"/>
    <w:rsid w:val="001D179C"/>
    <w:rsid w:val="001D26B4"/>
    <w:rsid w:val="001D401B"/>
    <w:rsid w:val="001D460F"/>
    <w:rsid w:val="001D4B49"/>
    <w:rsid w:val="001E07F0"/>
    <w:rsid w:val="001E64FC"/>
    <w:rsid w:val="001E760D"/>
    <w:rsid w:val="001E7A61"/>
    <w:rsid w:val="001E7EEE"/>
    <w:rsid w:val="001F61A0"/>
    <w:rsid w:val="00200508"/>
    <w:rsid w:val="002007DF"/>
    <w:rsid w:val="002058D4"/>
    <w:rsid w:val="00205FE8"/>
    <w:rsid w:val="00206BA3"/>
    <w:rsid w:val="00211A72"/>
    <w:rsid w:val="002128DB"/>
    <w:rsid w:val="00212F28"/>
    <w:rsid w:val="0021451B"/>
    <w:rsid w:val="00214A0C"/>
    <w:rsid w:val="00215160"/>
    <w:rsid w:val="0021557C"/>
    <w:rsid w:val="002172E0"/>
    <w:rsid w:val="00217A1E"/>
    <w:rsid w:val="002224B4"/>
    <w:rsid w:val="00222797"/>
    <w:rsid w:val="00223B89"/>
    <w:rsid w:val="002242D0"/>
    <w:rsid w:val="00226D5E"/>
    <w:rsid w:val="002277ED"/>
    <w:rsid w:val="0023169B"/>
    <w:rsid w:val="002339EB"/>
    <w:rsid w:val="00236C02"/>
    <w:rsid w:val="00237A3D"/>
    <w:rsid w:val="00240E83"/>
    <w:rsid w:val="00246B70"/>
    <w:rsid w:val="002502D1"/>
    <w:rsid w:val="002546FB"/>
    <w:rsid w:val="0025527E"/>
    <w:rsid w:val="00255B88"/>
    <w:rsid w:val="002561FF"/>
    <w:rsid w:val="00257D22"/>
    <w:rsid w:val="00260A17"/>
    <w:rsid w:val="00270EEC"/>
    <w:rsid w:val="002806A2"/>
    <w:rsid w:val="00282C85"/>
    <w:rsid w:val="00291474"/>
    <w:rsid w:val="0029216E"/>
    <w:rsid w:val="00292B26"/>
    <w:rsid w:val="00292E96"/>
    <w:rsid w:val="00293D37"/>
    <w:rsid w:val="00297CC7"/>
    <w:rsid w:val="002A03A6"/>
    <w:rsid w:val="002A0675"/>
    <w:rsid w:val="002A16A7"/>
    <w:rsid w:val="002A194F"/>
    <w:rsid w:val="002A4BD9"/>
    <w:rsid w:val="002A4FE7"/>
    <w:rsid w:val="002B1CEB"/>
    <w:rsid w:val="002B2BD3"/>
    <w:rsid w:val="002B309F"/>
    <w:rsid w:val="002B4AEB"/>
    <w:rsid w:val="002B5437"/>
    <w:rsid w:val="002B6F21"/>
    <w:rsid w:val="002C41BE"/>
    <w:rsid w:val="002C464F"/>
    <w:rsid w:val="002C5E95"/>
    <w:rsid w:val="002C5F6C"/>
    <w:rsid w:val="002D267E"/>
    <w:rsid w:val="002D3125"/>
    <w:rsid w:val="002D38AA"/>
    <w:rsid w:val="002D4F42"/>
    <w:rsid w:val="002D4F99"/>
    <w:rsid w:val="002D5B30"/>
    <w:rsid w:val="002E0AAB"/>
    <w:rsid w:val="002E5774"/>
    <w:rsid w:val="002E59DC"/>
    <w:rsid w:val="002E5D35"/>
    <w:rsid w:val="002E6F58"/>
    <w:rsid w:val="002E7177"/>
    <w:rsid w:val="002F34EB"/>
    <w:rsid w:val="002F3F92"/>
    <w:rsid w:val="0030084C"/>
    <w:rsid w:val="003011CE"/>
    <w:rsid w:val="00302C91"/>
    <w:rsid w:val="003039E1"/>
    <w:rsid w:val="00310380"/>
    <w:rsid w:val="00311988"/>
    <w:rsid w:val="00312314"/>
    <w:rsid w:val="003129BA"/>
    <w:rsid w:val="003148FC"/>
    <w:rsid w:val="00320B79"/>
    <w:rsid w:val="00321FCF"/>
    <w:rsid w:val="00323A69"/>
    <w:rsid w:val="00324988"/>
    <w:rsid w:val="00326668"/>
    <w:rsid w:val="00330820"/>
    <w:rsid w:val="003323BE"/>
    <w:rsid w:val="00332749"/>
    <w:rsid w:val="0033776C"/>
    <w:rsid w:val="00337EFC"/>
    <w:rsid w:val="00343140"/>
    <w:rsid w:val="003445FD"/>
    <w:rsid w:val="003465C8"/>
    <w:rsid w:val="003514D2"/>
    <w:rsid w:val="0035272A"/>
    <w:rsid w:val="00352880"/>
    <w:rsid w:val="003531B8"/>
    <w:rsid w:val="003562A1"/>
    <w:rsid w:val="003601E4"/>
    <w:rsid w:val="003606E5"/>
    <w:rsid w:val="0037016B"/>
    <w:rsid w:val="0037070C"/>
    <w:rsid w:val="00370FC0"/>
    <w:rsid w:val="00371765"/>
    <w:rsid w:val="00373206"/>
    <w:rsid w:val="003737ED"/>
    <w:rsid w:val="00375B80"/>
    <w:rsid w:val="00377352"/>
    <w:rsid w:val="0038287F"/>
    <w:rsid w:val="00382B7C"/>
    <w:rsid w:val="003852B5"/>
    <w:rsid w:val="0038559D"/>
    <w:rsid w:val="00385C33"/>
    <w:rsid w:val="00392DF5"/>
    <w:rsid w:val="00396EF1"/>
    <w:rsid w:val="003A10DA"/>
    <w:rsid w:val="003A12C8"/>
    <w:rsid w:val="003A5FAC"/>
    <w:rsid w:val="003A6FFE"/>
    <w:rsid w:val="003A7695"/>
    <w:rsid w:val="003B071E"/>
    <w:rsid w:val="003B2170"/>
    <w:rsid w:val="003B3A23"/>
    <w:rsid w:val="003B492E"/>
    <w:rsid w:val="003B4DA7"/>
    <w:rsid w:val="003B6592"/>
    <w:rsid w:val="003C30C9"/>
    <w:rsid w:val="003C5DD6"/>
    <w:rsid w:val="003C6223"/>
    <w:rsid w:val="003C65FC"/>
    <w:rsid w:val="003C772C"/>
    <w:rsid w:val="003D0C1C"/>
    <w:rsid w:val="003D3BD1"/>
    <w:rsid w:val="003D3C20"/>
    <w:rsid w:val="003D75CE"/>
    <w:rsid w:val="003D77B2"/>
    <w:rsid w:val="003E2614"/>
    <w:rsid w:val="003E2E73"/>
    <w:rsid w:val="003E3106"/>
    <w:rsid w:val="003E387D"/>
    <w:rsid w:val="003E3D68"/>
    <w:rsid w:val="003E5BB9"/>
    <w:rsid w:val="003E5C53"/>
    <w:rsid w:val="003F2B58"/>
    <w:rsid w:val="003F5886"/>
    <w:rsid w:val="003F77F9"/>
    <w:rsid w:val="0040020C"/>
    <w:rsid w:val="00401CA0"/>
    <w:rsid w:val="00403DC9"/>
    <w:rsid w:val="00406D21"/>
    <w:rsid w:val="0040700B"/>
    <w:rsid w:val="00407331"/>
    <w:rsid w:val="00407F54"/>
    <w:rsid w:val="00411341"/>
    <w:rsid w:val="00413966"/>
    <w:rsid w:val="00414C8D"/>
    <w:rsid w:val="00415CDB"/>
    <w:rsid w:val="00416529"/>
    <w:rsid w:val="00416710"/>
    <w:rsid w:val="004231DC"/>
    <w:rsid w:val="004246B3"/>
    <w:rsid w:val="0042551E"/>
    <w:rsid w:val="0042642C"/>
    <w:rsid w:val="004273FB"/>
    <w:rsid w:val="00431174"/>
    <w:rsid w:val="00432BBF"/>
    <w:rsid w:val="00433AD8"/>
    <w:rsid w:val="00435540"/>
    <w:rsid w:val="00437997"/>
    <w:rsid w:val="00440403"/>
    <w:rsid w:val="00440429"/>
    <w:rsid w:val="00440788"/>
    <w:rsid w:val="00442DEA"/>
    <w:rsid w:val="00446893"/>
    <w:rsid w:val="0045292D"/>
    <w:rsid w:val="004552A0"/>
    <w:rsid w:val="00457AF8"/>
    <w:rsid w:val="00457C4B"/>
    <w:rsid w:val="00457E34"/>
    <w:rsid w:val="00460A83"/>
    <w:rsid w:val="00460B3F"/>
    <w:rsid w:val="00460FC6"/>
    <w:rsid w:val="00461BAF"/>
    <w:rsid w:val="00464752"/>
    <w:rsid w:val="00464A7B"/>
    <w:rsid w:val="00467477"/>
    <w:rsid w:val="00467D06"/>
    <w:rsid w:val="004725C8"/>
    <w:rsid w:val="0047373F"/>
    <w:rsid w:val="004743FF"/>
    <w:rsid w:val="00474EA8"/>
    <w:rsid w:val="00475725"/>
    <w:rsid w:val="00476068"/>
    <w:rsid w:val="004763B3"/>
    <w:rsid w:val="00477619"/>
    <w:rsid w:val="0048249C"/>
    <w:rsid w:val="0048343F"/>
    <w:rsid w:val="00484044"/>
    <w:rsid w:val="00485D65"/>
    <w:rsid w:val="00486E6E"/>
    <w:rsid w:val="004875DF"/>
    <w:rsid w:val="00487C1D"/>
    <w:rsid w:val="00491F84"/>
    <w:rsid w:val="00492B0F"/>
    <w:rsid w:val="00494A6A"/>
    <w:rsid w:val="00494C6F"/>
    <w:rsid w:val="004963C3"/>
    <w:rsid w:val="004A5823"/>
    <w:rsid w:val="004B0AAF"/>
    <w:rsid w:val="004B0E86"/>
    <w:rsid w:val="004B1392"/>
    <w:rsid w:val="004B1DAA"/>
    <w:rsid w:val="004B3924"/>
    <w:rsid w:val="004C085F"/>
    <w:rsid w:val="004C15E8"/>
    <w:rsid w:val="004C3ABB"/>
    <w:rsid w:val="004C4DDD"/>
    <w:rsid w:val="004C5778"/>
    <w:rsid w:val="004C5A0D"/>
    <w:rsid w:val="004C6953"/>
    <w:rsid w:val="004C7001"/>
    <w:rsid w:val="004D1706"/>
    <w:rsid w:val="004D1A90"/>
    <w:rsid w:val="004D243F"/>
    <w:rsid w:val="004D5441"/>
    <w:rsid w:val="004D54CB"/>
    <w:rsid w:val="004D59AD"/>
    <w:rsid w:val="004D6474"/>
    <w:rsid w:val="004D724F"/>
    <w:rsid w:val="004D7473"/>
    <w:rsid w:val="004E3CBF"/>
    <w:rsid w:val="004E5622"/>
    <w:rsid w:val="004E64BC"/>
    <w:rsid w:val="004E6CB2"/>
    <w:rsid w:val="004E6DF8"/>
    <w:rsid w:val="004F3ADE"/>
    <w:rsid w:val="004F4DB9"/>
    <w:rsid w:val="004F63BB"/>
    <w:rsid w:val="00501C4B"/>
    <w:rsid w:val="00502841"/>
    <w:rsid w:val="005031A0"/>
    <w:rsid w:val="00505DB2"/>
    <w:rsid w:val="005074C8"/>
    <w:rsid w:val="00510475"/>
    <w:rsid w:val="00510D73"/>
    <w:rsid w:val="00510E2B"/>
    <w:rsid w:val="0051288F"/>
    <w:rsid w:val="00512ACB"/>
    <w:rsid w:val="0051425B"/>
    <w:rsid w:val="00514CA1"/>
    <w:rsid w:val="00514D75"/>
    <w:rsid w:val="0052216D"/>
    <w:rsid w:val="0052326D"/>
    <w:rsid w:val="005237F9"/>
    <w:rsid w:val="00524488"/>
    <w:rsid w:val="00525550"/>
    <w:rsid w:val="00526115"/>
    <w:rsid w:val="00533382"/>
    <w:rsid w:val="00533FAF"/>
    <w:rsid w:val="00534C17"/>
    <w:rsid w:val="005366B6"/>
    <w:rsid w:val="0053723E"/>
    <w:rsid w:val="00542899"/>
    <w:rsid w:val="005433B3"/>
    <w:rsid w:val="005476DB"/>
    <w:rsid w:val="005531F5"/>
    <w:rsid w:val="00553A54"/>
    <w:rsid w:val="00554ABB"/>
    <w:rsid w:val="00554BCD"/>
    <w:rsid w:val="005554FC"/>
    <w:rsid w:val="00556646"/>
    <w:rsid w:val="00561A97"/>
    <w:rsid w:val="00563DAC"/>
    <w:rsid w:val="005648F7"/>
    <w:rsid w:val="005675AF"/>
    <w:rsid w:val="005675E0"/>
    <w:rsid w:val="00570A71"/>
    <w:rsid w:val="00570C00"/>
    <w:rsid w:val="00572AEA"/>
    <w:rsid w:val="00577824"/>
    <w:rsid w:val="005807BB"/>
    <w:rsid w:val="0058206B"/>
    <w:rsid w:val="0058501B"/>
    <w:rsid w:val="00585690"/>
    <w:rsid w:val="00586CBA"/>
    <w:rsid w:val="00591630"/>
    <w:rsid w:val="00591CD8"/>
    <w:rsid w:val="00595015"/>
    <w:rsid w:val="00595141"/>
    <w:rsid w:val="00595909"/>
    <w:rsid w:val="00595B33"/>
    <w:rsid w:val="0059662F"/>
    <w:rsid w:val="005B03B5"/>
    <w:rsid w:val="005B76B3"/>
    <w:rsid w:val="005C0A19"/>
    <w:rsid w:val="005C31BD"/>
    <w:rsid w:val="005C49E2"/>
    <w:rsid w:val="005C4D7B"/>
    <w:rsid w:val="005C582F"/>
    <w:rsid w:val="005C6632"/>
    <w:rsid w:val="005D08E0"/>
    <w:rsid w:val="005D149C"/>
    <w:rsid w:val="005D3066"/>
    <w:rsid w:val="005D6018"/>
    <w:rsid w:val="005D6837"/>
    <w:rsid w:val="005E369F"/>
    <w:rsid w:val="005E3D30"/>
    <w:rsid w:val="005E4B13"/>
    <w:rsid w:val="005E4C02"/>
    <w:rsid w:val="005E509F"/>
    <w:rsid w:val="005E7D5D"/>
    <w:rsid w:val="005F01DF"/>
    <w:rsid w:val="005F034B"/>
    <w:rsid w:val="005F16FB"/>
    <w:rsid w:val="005F43BB"/>
    <w:rsid w:val="005F723C"/>
    <w:rsid w:val="005F76CC"/>
    <w:rsid w:val="005F7FF8"/>
    <w:rsid w:val="006004C4"/>
    <w:rsid w:val="006007E8"/>
    <w:rsid w:val="00600CA4"/>
    <w:rsid w:val="00602416"/>
    <w:rsid w:val="006025CE"/>
    <w:rsid w:val="006041F2"/>
    <w:rsid w:val="006049E5"/>
    <w:rsid w:val="00604DF8"/>
    <w:rsid w:val="006064F5"/>
    <w:rsid w:val="0060739F"/>
    <w:rsid w:val="00607606"/>
    <w:rsid w:val="00607659"/>
    <w:rsid w:val="006102C5"/>
    <w:rsid w:val="00610366"/>
    <w:rsid w:val="00612894"/>
    <w:rsid w:val="0061391B"/>
    <w:rsid w:val="00614A19"/>
    <w:rsid w:val="00617298"/>
    <w:rsid w:val="00621AFE"/>
    <w:rsid w:val="00622D46"/>
    <w:rsid w:val="006231A3"/>
    <w:rsid w:val="006253C8"/>
    <w:rsid w:val="0063093B"/>
    <w:rsid w:val="006309CB"/>
    <w:rsid w:val="00632406"/>
    <w:rsid w:val="00632A4D"/>
    <w:rsid w:val="00632A4E"/>
    <w:rsid w:val="006363B3"/>
    <w:rsid w:val="00637753"/>
    <w:rsid w:val="00637CBE"/>
    <w:rsid w:val="00637E2A"/>
    <w:rsid w:val="006449F8"/>
    <w:rsid w:val="006458E8"/>
    <w:rsid w:val="00647670"/>
    <w:rsid w:val="006507D1"/>
    <w:rsid w:val="006513AB"/>
    <w:rsid w:val="00651573"/>
    <w:rsid w:val="00652CFA"/>
    <w:rsid w:val="006536D0"/>
    <w:rsid w:val="00653F24"/>
    <w:rsid w:val="0065500A"/>
    <w:rsid w:val="00655036"/>
    <w:rsid w:val="0066030F"/>
    <w:rsid w:val="00660471"/>
    <w:rsid w:val="00662716"/>
    <w:rsid w:val="00664F84"/>
    <w:rsid w:val="00666890"/>
    <w:rsid w:val="006674F3"/>
    <w:rsid w:val="00670592"/>
    <w:rsid w:val="006735AC"/>
    <w:rsid w:val="00676C9F"/>
    <w:rsid w:val="00677B13"/>
    <w:rsid w:val="00677F4E"/>
    <w:rsid w:val="00681925"/>
    <w:rsid w:val="00681A08"/>
    <w:rsid w:val="0068592E"/>
    <w:rsid w:val="00685ECF"/>
    <w:rsid w:val="006875B8"/>
    <w:rsid w:val="00687CEA"/>
    <w:rsid w:val="006920CD"/>
    <w:rsid w:val="00692F6A"/>
    <w:rsid w:val="00693FCC"/>
    <w:rsid w:val="00694E01"/>
    <w:rsid w:val="00695171"/>
    <w:rsid w:val="0069592A"/>
    <w:rsid w:val="00695B75"/>
    <w:rsid w:val="006A0791"/>
    <w:rsid w:val="006A1A95"/>
    <w:rsid w:val="006A38B7"/>
    <w:rsid w:val="006A5C31"/>
    <w:rsid w:val="006B10D6"/>
    <w:rsid w:val="006B1B79"/>
    <w:rsid w:val="006B1CB2"/>
    <w:rsid w:val="006B1DD1"/>
    <w:rsid w:val="006B2024"/>
    <w:rsid w:val="006B3396"/>
    <w:rsid w:val="006B48B0"/>
    <w:rsid w:val="006B7A81"/>
    <w:rsid w:val="006C195E"/>
    <w:rsid w:val="006C5A00"/>
    <w:rsid w:val="006C6A36"/>
    <w:rsid w:val="006D06D6"/>
    <w:rsid w:val="006D16D1"/>
    <w:rsid w:val="006D1BD4"/>
    <w:rsid w:val="006D45E9"/>
    <w:rsid w:val="006D638F"/>
    <w:rsid w:val="006D6C6B"/>
    <w:rsid w:val="006D76D7"/>
    <w:rsid w:val="006E0B2C"/>
    <w:rsid w:val="006E0B6A"/>
    <w:rsid w:val="006E18D1"/>
    <w:rsid w:val="006E227F"/>
    <w:rsid w:val="006E4043"/>
    <w:rsid w:val="006E539C"/>
    <w:rsid w:val="006E69CE"/>
    <w:rsid w:val="006E72A4"/>
    <w:rsid w:val="006E7BF7"/>
    <w:rsid w:val="006F0789"/>
    <w:rsid w:val="006F2B80"/>
    <w:rsid w:val="006F2E87"/>
    <w:rsid w:val="00705564"/>
    <w:rsid w:val="007068C8"/>
    <w:rsid w:val="007130C1"/>
    <w:rsid w:val="00715B8F"/>
    <w:rsid w:val="007222EE"/>
    <w:rsid w:val="00724361"/>
    <w:rsid w:val="0073106E"/>
    <w:rsid w:val="00736677"/>
    <w:rsid w:val="00736ABC"/>
    <w:rsid w:val="0073764C"/>
    <w:rsid w:val="0074252E"/>
    <w:rsid w:val="00742C7D"/>
    <w:rsid w:val="007431F0"/>
    <w:rsid w:val="007440CF"/>
    <w:rsid w:val="007505D6"/>
    <w:rsid w:val="007536AC"/>
    <w:rsid w:val="00755142"/>
    <w:rsid w:val="00755E0A"/>
    <w:rsid w:val="00756BB7"/>
    <w:rsid w:val="0075764B"/>
    <w:rsid w:val="00757B9A"/>
    <w:rsid w:val="00760C01"/>
    <w:rsid w:val="00760F96"/>
    <w:rsid w:val="00761293"/>
    <w:rsid w:val="00761D06"/>
    <w:rsid w:val="007633F3"/>
    <w:rsid w:val="007654B5"/>
    <w:rsid w:val="0076554D"/>
    <w:rsid w:val="007656D6"/>
    <w:rsid w:val="00767980"/>
    <w:rsid w:val="00767C04"/>
    <w:rsid w:val="00770CF3"/>
    <w:rsid w:val="00771AE3"/>
    <w:rsid w:val="007731D4"/>
    <w:rsid w:val="00773639"/>
    <w:rsid w:val="007736A2"/>
    <w:rsid w:val="00776D8E"/>
    <w:rsid w:val="00776E4D"/>
    <w:rsid w:val="00776FD3"/>
    <w:rsid w:val="00780ABA"/>
    <w:rsid w:val="0078266A"/>
    <w:rsid w:val="00785199"/>
    <w:rsid w:val="007869A3"/>
    <w:rsid w:val="00787F88"/>
    <w:rsid w:val="007913E7"/>
    <w:rsid w:val="00791418"/>
    <w:rsid w:val="007917EF"/>
    <w:rsid w:val="00794FCB"/>
    <w:rsid w:val="0079542A"/>
    <w:rsid w:val="0079634E"/>
    <w:rsid w:val="00797C77"/>
    <w:rsid w:val="007A250D"/>
    <w:rsid w:val="007A2AC0"/>
    <w:rsid w:val="007A3534"/>
    <w:rsid w:val="007A5B8A"/>
    <w:rsid w:val="007A6226"/>
    <w:rsid w:val="007B07F6"/>
    <w:rsid w:val="007B0DA0"/>
    <w:rsid w:val="007B13FB"/>
    <w:rsid w:val="007B18D4"/>
    <w:rsid w:val="007B27BC"/>
    <w:rsid w:val="007B3C61"/>
    <w:rsid w:val="007B4E4B"/>
    <w:rsid w:val="007C1363"/>
    <w:rsid w:val="007C62F1"/>
    <w:rsid w:val="007C64AC"/>
    <w:rsid w:val="007D1918"/>
    <w:rsid w:val="007D1FBE"/>
    <w:rsid w:val="007D2926"/>
    <w:rsid w:val="007D5973"/>
    <w:rsid w:val="007E230F"/>
    <w:rsid w:val="007E3605"/>
    <w:rsid w:val="007E4319"/>
    <w:rsid w:val="007E7DB1"/>
    <w:rsid w:val="007E7DF9"/>
    <w:rsid w:val="007F03F2"/>
    <w:rsid w:val="007F0704"/>
    <w:rsid w:val="007F165A"/>
    <w:rsid w:val="007F1F67"/>
    <w:rsid w:val="007F52A6"/>
    <w:rsid w:val="00800C2F"/>
    <w:rsid w:val="0080154C"/>
    <w:rsid w:val="00802496"/>
    <w:rsid w:val="00803FE0"/>
    <w:rsid w:val="00804280"/>
    <w:rsid w:val="0080589B"/>
    <w:rsid w:val="00805CBC"/>
    <w:rsid w:val="008065D7"/>
    <w:rsid w:val="0081235F"/>
    <w:rsid w:val="0081441D"/>
    <w:rsid w:val="00815579"/>
    <w:rsid w:val="00816558"/>
    <w:rsid w:val="00816E30"/>
    <w:rsid w:val="00821B86"/>
    <w:rsid w:val="0082264B"/>
    <w:rsid w:val="00824A1F"/>
    <w:rsid w:val="008251FB"/>
    <w:rsid w:val="0082607C"/>
    <w:rsid w:val="00826AD9"/>
    <w:rsid w:val="0082765B"/>
    <w:rsid w:val="00830C60"/>
    <w:rsid w:val="00832050"/>
    <w:rsid w:val="00832900"/>
    <w:rsid w:val="00833DE9"/>
    <w:rsid w:val="008352B1"/>
    <w:rsid w:val="00835BD7"/>
    <w:rsid w:val="00837810"/>
    <w:rsid w:val="0084132E"/>
    <w:rsid w:val="00841674"/>
    <w:rsid w:val="008428E8"/>
    <w:rsid w:val="00843D71"/>
    <w:rsid w:val="008457FD"/>
    <w:rsid w:val="00846F11"/>
    <w:rsid w:val="0084745A"/>
    <w:rsid w:val="00847E3C"/>
    <w:rsid w:val="00850EC3"/>
    <w:rsid w:val="008574B8"/>
    <w:rsid w:val="00862202"/>
    <w:rsid w:val="00862C40"/>
    <w:rsid w:val="008633AA"/>
    <w:rsid w:val="008649D4"/>
    <w:rsid w:val="00867E31"/>
    <w:rsid w:val="00870045"/>
    <w:rsid w:val="00872088"/>
    <w:rsid w:val="00876C24"/>
    <w:rsid w:val="00876E5F"/>
    <w:rsid w:val="008777CA"/>
    <w:rsid w:val="00880CCD"/>
    <w:rsid w:val="00881257"/>
    <w:rsid w:val="00883588"/>
    <w:rsid w:val="008838BA"/>
    <w:rsid w:val="00883CEA"/>
    <w:rsid w:val="00884A12"/>
    <w:rsid w:val="00886C52"/>
    <w:rsid w:val="00890B81"/>
    <w:rsid w:val="00890CE4"/>
    <w:rsid w:val="00891ED7"/>
    <w:rsid w:val="0089214F"/>
    <w:rsid w:val="00897030"/>
    <w:rsid w:val="008A0B16"/>
    <w:rsid w:val="008A0C65"/>
    <w:rsid w:val="008A16B4"/>
    <w:rsid w:val="008A19F2"/>
    <w:rsid w:val="008A4233"/>
    <w:rsid w:val="008A6996"/>
    <w:rsid w:val="008A71BC"/>
    <w:rsid w:val="008B27F2"/>
    <w:rsid w:val="008B4767"/>
    <w:rsid w:val="008B76E1"/>
    <w:rsid w:val="008B7B54"/>
    <w:rsid w:val="008C3187"/>
    <w:rsid w:val="008C5E2E"/>
    <w:rsid w:val="008C5E4F"/>
    <w:rsid w:val="008D09B4"/>
    <w:rsid w:val="008D1BB7"/>
    <w:rsid w:val="008D34A5"/>
    <w:rsid w:val="008D5015"/>
    <w:rsid w:val="008D63B7"/>
    <w:rsid w:val="008D6A03"/>
    <w:rsid w:val="008D6CA7"/>
    <w:rsid w:val="008E4092"/>
    <w:rsid w:val="008E7ECC"/>
    <w:rsid w:val="008E7FEE"/>
    <w:rsid w:val="008F1844"/>
    <w:rsid w:val="008F31F5"/>
    <w:rsid w:val="008F32F9"/>
    <w:rsid w:val="008F4123"/>
    <w:rsid w:val="008F67F5"/>
    <w:rsid w:val="008F699E"/>
    <w:rsid w:val="008F6BCE"/>
    <w:rsid w:val="008F7332"/>
    <w:rsid w:val="009001F0"/>
    <w:rsid w:val="00900D4B"/>
    <w:rsid w:val="00905F9B"/>
    <w:rsid w:val="009105C3"/>
    <w:rsid w:val="00913BD3"/>
    <w:rsid w:val="00913C66"/>
    <w:rsid w:val="009164D0"/>
    <w:rsid w:val="009170B9"/>
    <w:rsid w:val="00920A4E"/>
    <w:rsid w:val="00921B38"/>
    <w:rsid w:val="00923A87"/>
    <w:rsid w:val="00925FAA"/>
    <w:rsid w:val="00927482"/>
    <w:rsid w:val="00931038"/>
    <w:rsid w:val="00931650"/>
    <w:rsid w:val="00932D5C"/>
    <w:rsid w:val="00934303"/>
    <w:rsid w:val="00936FF5"/>
    <w:rsid w:val="00937ADA"/>
    <w:rsid w:val="00941DD5"/>
    <w:rsid w:val="009429F6"/>
    <w:rsid w:val="00943844"/>
    <w:rsid w:val="00946A35"/>
    <w:rsid w:val="0095112B"/>
    <w:rsid w:val="009526EB"/>
    <w:rsid w:val="00953732"/>
    <w:rsid w:val="00953FC1"/>
    <w:rsid w:val="00956FFC"/>
    <w:rsid w:val="0095712A"/>
    <w:rsid w:val="00957D55"/>
    <w:rsid w:val="00962036"/>
    <w:rsid w:val="00964C40"/>
    <w:rsid w:val="00966517"/>
    <w:rsid w:val="00966A6A"/>
    <w:rsid w:val="009674E9"/>
    <w:rsid w:val="00972A73"/>
    <w:rsid w:val="00973A6D"/>
    <w:rsid w:val="00974C6B"/>
    <w:rsid w:val="00977C71"/>
    <w:rsid w:val="00980456"/>
    <w:rsid w:val="00981045"/>
    <w:rsid w:val="009816E4"/>
    <w:rsid w:val="00983D2B"/>
    <w:rsid w:val="0098649D"/>
    <w:rsid w:val="009865AA"/>
    <w:rsid w:val="0098664C"/>
    <w:rsid w:val="00987080"/>
    <w:rsid w:val="0098765A"/>
    <w:rsid w:val="0099024E"/>
    <w:rsid w:val="009917BA"/>
    <w:rsid w:val="0099262D"/>
    <w:rsid w:val="00992E53"/>
    <w:rsid w:val="009930B8"/>
    <w:rsid w:val="009934FA"/>
    <w:rsid w:val="009946FD"/>
    <w:rsid w:val="00994CF5"/>
    <w:rsid w:val="0099526E"/>
    <w:rsid w:val="009968B0"/>
    <w:rsid w:val="009A0CF7"/>
    <w:rsid w:val="009A1533"/>
    <w:rsid w:val="009A1F74"/>
    <w:rsid w:val="009A244F"/>
    <w:rsid w:val="009A6CB2"/>
    <w:rsid w:val="009A77CB"/>
    <w:rsid w:val="009B0982"/>
    <w:rsid w:val="009B47ED"/>
    <w:rsid w:val="009B4C99"/>
    <w:rsid w:val="009C00B6"/>
    <w:rsid w:val="009C0FB4"/>
    <w:rsid w:val="009C13FB"/>
    <w:rsid w:val="009C371D"/>
    <w:rsid w:val="009C5079"/>
    <w:rsid w:val="009C5FAE"/>
    <w:rsid w:val="009D05E0"/>
    <w:rsid w:val="009D28CF"/>
    <w:rsid w:val="009D2E02"/>
    <w:rsid w:val="009D4CC1"/>
    <w:rsid w:val="009E5D36"/>
    <w:rsid w:val="009E6375"/>
    <w:rsid w:val="009E7CA0"/>
    <w:rsid w:val="009F0BC0"/>
    <w:rsid w:val="009F28B4"/>
    <w:rsid w:val="009F3951"/>
    <w:rsid w:val="009F3968"/>
    <w:rsid w:val="009F4CCF"/>
    <w:rsid w:val="009F51C8"/>
    <w:rsid w:val="009F5B46"/>
    <w:rsid w:val="009F7365"/>
    <w:rsid w:val="00A0279D"/>
    <w:rsid w:val="00A02AA3"/>
    <w:rsid w:val="00A04392"/>
    <w:rsid w:val="00A069CE"/>
    <w:rsid w:val="00A06A9D"/>
    <w:rsid w:val="00A109D8"/>
    <w:rsid w:val="00A13A51"/>
    <w:rsid w:val="00A16003"/>
    <w:rsid w:val="00A167D7"/>
    <w:rsid w:val="00A227B5"/>
    <w:rsid w:val="00A23860"/>
    <w:rsid w:val="00A23D39"/>
    <w:rsid w:val="00A23D79"/>
    <w:rsid w:val="00A23EC2"/>
    <w:rsid w:val="00A24268"/>
    <w:rsid w:val="00A24FBB"/>
    <w:rsid w:val="00A25609"/>
    <w:rsid w:val="00A31083"/>
    <w:rsid w:val="00A313C3"/>
    <w:rsid w:val="00A31C09"/>
    <w:rsid w:val="00A32535"/>
    <w:rsid w:val="00A3453E"/>
    <w:rsid w:val="00A35282"/>
    <w:rsid w:val="00A357D0"/>
    <w:rsid w:val="00A35C26"/>
    <w:rsid w:val="00A4039D"/>
    <w:rsid w:val="00A42592"/>
    <w:rsid w:val="00A42ED2"/>
    <w:rsid w:val="00A4331A"/>
    <w:rsid w:val="00A44B33"/>
    <w:rsid w:val="00A44B8B"/>
    <w:rsid w:val="00A50975"/>
    <w:rsid w:val="00A50E00"/>
    <w:rsid w:val="00A5114A"/>
    <w:rsid w:val="00A52529"/>
    <w:rsid w:val="00A53624"/>
    <w:rsid w:val="00A54EBA"/>
    <w:rsid w:val="00A55EAF"/>
    <w:rsid w:val="00A55F72"/>
    <w:rsid w:val="00A5766B"/>
    <w:rsid w:val="00A7059D"/>
    <w:rsid w:val="00A75078"/>
    <w:rsid w:val="00A75B42"/>
    <w:rsid w:val="00A7650A"/>
    <w:rsid w:val="00A77277"/>
    <w:rsid w:val="00A77512"/>
    <w:rsid w:val="00A82B31"/>
    <w:rsid w:val="00A835F9"/>
    <w:rsid w:val="00A84DEE"/>
    <w:rsid w:val="00A863E3"/>
    <w:rsid w:val="00A910FE"/>
    <w:rsid w:val="00A95898"/>
    <w:rsid w:val="00A97BFB"/>
    <w:rsid w:val="00AA4A53"/>
    <w:rsid w:val="00AA6CE5"/>
    <w:rsid w:val="00AA6D14"/>
    <w:rsid w:val="00AA7874"/>
    <w:rsid w:val="00AB0BBC"/>
    <w:rsid w:val="00AB23AC"/>
    <w:rsid w:val="00AB3A92"/>
    <w:rsid w:val="00AB478B"/>
    <w:rsid w:val="00AB47AC"/>
    <w:rsid w:val="00AB4AD9"/>
    <w:rsid w:val="00AB618B"/>
    <w:rsid w:val="00AC04A7"/>
    <w:rsid w:val="00AC4601"/>
    <w:rsid w:val="00AC7793"/>
    <w:rsid w:val="00AD3747"/>
    <w:rsid w:val="00AD4F06"/>
    <w:rsid w:val="00AD6E77"/>
    <w:rsid w:val="00AD7A25"/>
    <w:rsid w:val="00AE166D"/>
    <w:rsid w:val="00AE2666"/>
    <w:rsid w:val="00AE3E14"/>
    <w:rsid w:val="00AE40E1"/>
    <w:rsid w:val="00AE4389"/>
    <w:rsid w:val="00AE6272"/>
    <w:rsid w:val="00AE6F48"/>
    <w:rsid w:val="00AE7788"/>
    <w:rsid w:val="00AF3A5A"/>
    <w:rsid w:val="00AF3E15"/>
    <w:rsid w:val="00AF4EF3"/>
    <w:rsid w:val="00AF5218"/>
    <w:rsid w:val="00AF74A7"/>
    <w:rsid w:val="00AF7F80"/>
    <w:rsid w:val="00B007A5"/>
    <w:rsid w:val="00B0230D"/>
    <w:rsid w:val="00B0480E"/>
    <w:rsid w:val="00B1026A"/>
    <w:rsid w:val="00B1189E"/>
    <w:rsid w:val="00B12802"/>
    <w:rsid w:val="00B12A68"/>
    <w:rsid w:val="00B12C39"/>
    <w:rsid w:val="00B13C5F"/>
    <w:rsid w:val="00B15B7E"/>
    <w:rsid w:val="00B16962"/>
    <w:rsid w:val="00B21166"/>
    <w:rsid w:val="00B22F09"/>
    <w:rsid w:val="00B24971"/>
    <w:rsid w:val="00B263AE"/>
    <w:rsid w:val="00B30732"/>
    <w:rsid w:val="00B3209D"/>
    <w:rsid w:val="00B3210E"/>
    <w:rsid w:val="00B33A6C"/>
    <w:rsid w:val="00B36EE0"/>
    <w:rsid w:val="00B41E51"/>
    <w:rsid w:val="00B45DC8"/>
    <w:rsid w:val="00B464F8"/>
    <w:rsid w:val="00B47091"/>
    <w:rsid w:val="00B4724A"/>
    <w:rsid w:val="00B50651"/>
    <w:rsid w:val="00B52F8A"/>
    <w:rsid w:val="00B56534"/>
    <w:rsid w:val="00B5705C"/>
    <w:rsid w:val="00B57A21"/>
    <w:rsid w:val="00B62C3E"/>
    <w:rsid w:val="00B645DE"/>
    <w:rsid w:val="00B65857"/>
    <w:rsid w:val="00B66698"/>
    <w:rsid w:val="00B6792B"/>
    <w:rsid w:val="00B679D0"/>
    <w:rsid w:val="00B71B8F"/>
    <w:rsid w:val="00B745DC"/>
    <w:rsid w:val="00B74625"/>
    <w:rsid w:val="00B7682C"/>
    <w:rsid w:val="00B76C94"/>
    <w:rsid w:val="00B77310"/>
    <w:rsid w:val="00B82E96"/>
    <w:rsid w:val="00B83641"/>
    <w:rsid w:val="00B84350"/>
    <w:rsid w:val="00B855A6"/>
    <w:rsid w:val="00B91098"/>
    <w:rsid w:val="00B91904"/>
    <w:rsid w:val="00B92735"/>
    <w:rsid w:val="00B95081"/>
    <w:rsid w:val="00B96275"/>
    <w:rsid w:val="00B969ED"/>
    <w:rsid w:val="00BA1E8C"/>
    <w:rsid w:val="00BA20E5"/>
    <w:rsid w:val="00BA3835"/>
    <w:rsid w:val="00BA4170"/>
    <w:rsid w:val="00BA5A97"/>
    <w:rsid w:val="00BA77F1"/>
    <w:rsid w:val="00BB0D90"/>
    <w:rsid w:val="00BB1D8F"/>
    <w:rsid w:val="00BB1D90"/>
    <w:rsid w:val="00BB60C6"/>
    <w:rsid w:val="00BB7984"/>
    <w:rsid w:val="00BC248A"/>
    <w:rsid w:val="00BC488B"/>
    <w:rsid w:val="00BC6A06"/>
    <w:rsid w:val="00BC6FB6"/>
    <w:rsid w:val="00BD137C"/>
    <w:rsid w:val="00BD1606"/>
    <w:rsid w:val="00BD38A7"/>
    <w:rsid w:val="00BD6C95"/>
    <w:rsid w:val="00BE1565"/>
    <w:rsid w:val="00BE294F"/>
    <w:rsid w:val="00BE3BC7"/>
    <w:rsid w:val="00BF092B"/>
    <w:rsid w:val="00BF0BE0"/>
    <w:rsid w:val="00BF0D88"/>
    <w:rsid w:val="00BF1AB7"/>
    <w:rsid w:val="00BF37CC"/>
    <w:rsid w:val="00BF423A"/>
    <w:rsid w:val="00BF4D8C"/>
    <w:rsid w:val="00BF6794"/>
    <w:rsid w:val="00BF701E"/>
    <w:rsid w:val="00BF7FE9"/>
    <w:rsid w:val="00C00B7F"/>
    <w:rsid w:val="00C0309F"/>
    <w:rsid w:val="00C03596"/>
    <w:rsid w:val="00C04849"/>
    <w:rsid w:val="00C05EEC"/>
    <w:rsid w:val="00C05FB3"/>
    <w:rsid w:val="00C11F63"/>
    <w:rsid w:val="00C137AC"/>
    <w:rsid w:val="00C15436"/>
    <w:rsid w:val="00C15A13"/>
    <w:rsid w:val="00C16C79"/>
    <w:rsid w:val="00C21EBE"/>
    <w:rsid w:val="00C238D9"/>
    <w:rsid w:val="00C24A9D"/>
    <w:rsid w:val="00C25CB5"/>
    <w:rsid w:val="00C26038"/>
    <w:rsid w:val="00C265B4"/>
    <w:rsid w:val="00C2677E"/>
    <w:rsid w:val="00C31542"/>
    <w:rsid w:val="00C33624"/>
    <w:rsid w:val="00C347BF"/>
    <w:rsid w:val="00C34952"/>
    <w:rsid w:val="00C350D8"/>
    <w:rsid w:val="00C36923"/>
    <w:rsid w:val="00C37A82"/>
    <w:rsid w:val="00C40D6B"/>
    <w:rsid w:val="00C515E0"/>
    <w:rsid w:val="00C53209"/>
    <w:rsid w:val="00C60678"/>
    <w:rsid w:val="00C6078D"/>
    <w:rsid w:val="00C61649"/>
    <w:rsid w:val="00C6260E"/>
    <w:rsid w:val="00C62D63"/>
    <w:rsid w:val="00C633AF"/>
    <w:rsid w:val="00C6363C"/>
    <w:rsid w:val="00C64BA9"/>
    <w:rsid w:val="00C65781"/>
    <w:rsid w:val="00C657CF"/>
    <w:rsid w:val="00C73F85"/>
    <w:rsid w:val="00C80D62"/>
    <w:rsid w:val="00C82CC7"/>
    <w:rsid w:val="00C8388B"/>
    <w:rsid w:val="00C844C6"/>
    <w:rsid w:val="00C8485B"/>
    <w:rsid w:val="00C84944"/>
    <w:rsid w:val="00C96BFD"/>
    <w:rsid w:val="00C96C98"/>
    <w:rsid w:val="00C97033"/>
    <w:rsid w:val="00CA5358"/>
    <w:rsid w:val="00CA6340"/>
    <w:rsid w:val="00CA6881"/>
    <w:rsid w:val="00CB1DCA"/>
    <w:rsid w:val="00CB45C7"/>
    <w:rsid w:val="00CC0677"/>
    <w:rsid w:val="00CC2CC8"/>
    <w:rsid w:val="00CC52D3"/>
    <w:rsid w:val="00CC73D7"/>
    <w:rsid w:val="00CD2BEB"/>
    <w:rsid w:val="00CD2EC0"/>
    <w:rsid w:val="00CD502A"/>
    <w:rsid w:val="00CD66E9"/>
    <w:rsid w:val="00CD6DC7"/>
    <w:rsid w:val="00CD7509"/>
    <w:rsid w:val="00CE1DD4"/>
    <w:rsid w:val="00CE6366"/>
    <w:rsid w:val="00CF12CF"/>
    <w:rsid w:val="00CF4BE3"/>
    <w:rsid w:val="00D00372"/>
    <w:rsid w:val="00D008CE"/>
    <w:rsid w:val="00D01638"/>
    <w:rsid w:val="00D04517"/>
    <w:rsid w:val="00D060D2"/>
    <w:rsid w:val="00D07537"/>
    <w:rsid w:val="00D07E39"/>
    <w:rsid w:val="00D07F52"/>
    <w:rsid w:val="00D13E2D"/>
    <w:rsid w:val="00D14394"/>
    <w:rsid w:val="00D242CD"/>
    <w:rsid w:val="00D261BE"/>
    <w:rsid w:val="00D26FDE"/>
    <w:rsid w:val="00D27E16"/>
    <w:rsid w:val="00D27F2A"/>
    <w:rsid w:val="00D32293"/>
    <w:rsid w:val="00D33F73"/>
    <w:rsid w:val="00D341C3"/>
    <w:rsid w:val="00D34B2D"/>
    <w:rsid w:val="00D41C3A"/>
    <w:rsid w:val="00D41E21"/>
    <w:rsid w:val="00D42125"/>
    <w:rsid w:val="00D42843"/>
    <w:rsid w:val="00D45A24"/>
    <w:rsid w:val="00D5152A"/>
    <w:rsid w:val="00D519CA"/>
    <w:rsid w:val="00D574EF"/>
    <w:rsid w:val="00D60F8E"/>
    <w:rsid w:val="00D64CA9"/>
    <w:rsid w:val="00D65145"/>
    <w:rsid w:val="00D66F6C"/>
    <w:rsid w:val="00D70D27"/>
    <w:rsid w:val="00D70D57"/>
    <w:rsid w:val="00D7392C"/>
    <w:rsid w:val="00D73E95"/>
    <w:rsid w:val="00D74314"/>
    <w:rsid w:val="00D7434C"/>
    <w:rsid w:val="00D81345"/>
    <w:rsid w:val="00D81410"/>
    <w:rsid w:val="00D81CB6"/>
    <w:rsid w:val="00D81EA6"/>
    <w:rsid w:val="00D86CA3"/>
    <w:rsid w:val="00D922C0"/>
    <w:rsid w:val="00D92505"/>
    <w:rsid w:val="00D93585"/>
    <w:rsid w:val="00D94971"/>
    <w:rsid w:val="00D95076"/>
    <w:rsid w:val="00D952CC"/>
    <w:rsid w:val="00DA267C"/>
    <w:rsid w:val="00DA27AA"/>
    <w:rsid w:val="00DA5101"/>
    <w:rsid w:val="00DA79EF"/>
    <w:rsid w:val="00DB0C0B"/>
    <w:rsid w:val="00DB146E"/>
    <w:rsid w:val="00DB383D"/>
    <w:rsid w:val="00DB3B74"/>
    <w:rsid w:val="00DB4537"/>
    <w:rsid w:val="00DB47CE"/>
    <w:rsid w:val="00DB5887"/>
    <w:rsid w:val="00DC0048"/>
    <w:rsid w:val="00DC3EAF"/>
    <w:rsid w:val="00DC446F"/>
    <w:rsid w:val="00DC4591"/>
    <w:rsid w:val="00DC4D8F"/>
    <w:rsid w:val="00DC5398"/>
    <w:rsid w:val="00DC5870"/>
    <w:rsid w:val="00DC68D3"/>
    <w:rsid w:val="00DD0384"/>
    <w:rsid w:val="00DD0901"/>
    <w:rsid w:val="00DD3B72"/>
    <w:rsid w:val="00DD51F4"/>
    <w:rsid w:val="00DE0417"/>
    <w:rsid w:val="00DE0F92"/>
    <w:rsid w:val="00DE16B6"/>
    <w:rsid w:val="00DE3323"/>
    <w:rsid w:val="00DE36CA"/>
    <w:rsid w:val="00DE641B"/>
    <w:rsid w:val="00DE6CE1"/>
    <w:rsid w:val="00DE7E63"/>
    <w:rsid w:val="00DF23AF"/>
    <w:rsid w:val="00DF35FB"/>
    <w:rsid w:val="00DF77A2"/>
    <w:rsid w:val="00E01F12"/>
    <w:rsid w:val="00E02CB6"/>
    <w:rsid w:val="00E049BA"/>
    <w:rsid w:val="00E0523F"/>
    <w:rsid w:val="00E057EC"/>
    <w:rsid w:val="00E057FD"/>
    <w:rsid w:val="00E063B4"/>
    <w:rsid w:val="00E063F1"/>
    <w:rsid w:val="00E16330"/>
    <w:rsid w:val="00E16B4C"/>
    <w:rsid w:val="00E171A6"/>
    <w:rsid w:val="00E17CB1"/>
    <w:rsid w:val="00E214FE"/>
    <w:rsid w:val="00E25528"/>
    <w:rsid w:val="00E3072D"/>
    <w:rsid w:val="00E32261"/>
    <w:rsid w:val="00E33764"/>
    <w:rsid w:val="00E367C5"/>
    <w:rsid w:val="00E37E71"/>
    <w:rsid w:val="00E419FA"/>
    <w:rsid w:val="00E42486"/>
    <w:rsid w:val="00E42847"/>
    <w:rsid w:val="00E4405F"/>
    <w:rsid w:val="00E44F46"/>
    <w:rsid w:val="00E46064"/>
    <w:rsid w:val="00E468C1"/>
    <w:rsid w:val="00E55FF7"/>
    <w:rsid w:val="00E604A1"/>
    <w:rsid w:val="00E6065B"/>
    <w:rsid w:val="00E638EE"/>
    <w:rsid w:val="00E64023"/>
    <w:rsid w:val="00E664C7"/>
    <w:rsid w:val="00E67C7C"/>
    <w:rsid w:val="00E67F20"/>
    <w:rsid w:val="00E7161D"/>
    <w:rsid w:val="00E72BE6"/>
    <w:rsid w:val="00E73267"/>
    <w:rsid w:val="00E73A11"/>
    <w:rsid w:val="00E73AA8"/>
    <w:rsid w:val="00E80228"/>
    <w:rsid w:val="00E824B2"/>
    <w:rsid w:val="00E83790"/>
    <w:rsid w:val="00E83CEE"/>
    <w:rsid w:val="00E85CE4"/>
    <w:rsid w:val="00E8662B"/>
    <w:rsid w:val="00E86D2A"/>
    <w:rsid w:val="00E87246"/>
    <w:rsid w:val="00E879EB"/>
    <w:rsid w:val="00E909CC"/>
    <w:rsid w:val="00E90FCD"/>
    <w:rsid w:val="00E96B41"/>
    <w:rsid w:val="00EA0211"/>
    <w:rsid w:val="00EA234D"/>
    <w:rsid w:val="00EA2ED4"/>
    <w:rsid w:val="00EA491A"/>
    <w:rsid w:val="00EA5F1C"/>
    <w:rsid w:val="00EA71DF"/>
    <w:rsid w:val="00EA7AEC"/>
    <w:rsid w:val="00EB036E"/>
    <w:rsid w:val="00EB1583"/>
    <w:rsid w:val="00EB4EED"/>
    <w:rsid w:val="00EB545A"/>
    <w:rsid w:val="00EB54A9"/>
    <w:rsid w:val="00EB58D8"/>
    <w:rsid w:val="00EB7CCC"/>
    <w:rsid w:val="00EC048C"/>
    <w:rsid w:val="00EC23FB"/>
    <w:rsid w:val="00ED69CB"/>
    <w:rsid w:val="00ED7681"/>
    <w:rsid w:val="00EE0DE5"/>
    <w:rsid w:val="00EE243C"/>
    <w:rsid w:val="00EE489E"/>
    <w:rsid w:val="00EE4E48"/>
    <w:rsid w:val="00EF1497"/>
    <w:rsid w:val="00EF2828"/>
    <w:rsid w:val="00EF299E"/>
    <w:rsid w:val="00EF2DF4"/>
    <w:rsid w:val="00EF4A56"/>
    <w:rsid w:val="00EF53B1"/>
    <w:rsid w:val="00EF62A9"/>
    <w:rsid w:val="00EF63C6"/>
    <w:rsid w:val="00EF7610"/>
    <w:rsid w:val="00EF7C33"/>
    <w:rsid w:val="00F00273"/>
    <w:rsid w:val="00F023AE"/>
    <w:rsid w:val="00F034FB"/>
    <w:rsid w:val="00F05606"/>
    <w:rsid w:val="00F105F5"/>
    <w:rsid w:val="00F1075A"/>
    <w:rsid w:val="00F11DA4"/>
    <w:rsid w:val="00F13185"/>
    <w:rsid w:val="00F14499"/>
    <w:rsid w:val="00F21A9F"/>
    <w:rsid w:val="00F22E82"/>
    <w:rsid w:val="00F22F89"/>
    <w:rsid w:val="00F23B0F"/>
    <w:rsid w:val="00F24040"/>
    <w:rsid w:val="00F2483A"/>
    <w:rsid w:val="00F3123B"/>
    <w:rsid w:val="00F31E94"/>
    <w:rsid w:val="00F337BF"/>
    <w:rsid w:val="00F33D14"/>
    <w:rsid w:val="00F35C49"/>
    <w:rsid w:val="00F35F3C"/>
    <w:rsid w:val="00F36B29"/>
    <w:rsid w:val="00F41AB2"/>
    <w:rsid w:val="00F42312"/>
    <w:rsid w:val="00F44636"/>
    <w:rsid w:val="00F467A7"/>
    <w:rsid w:val="00F473B6"/>
    <w:rsid w:val="00F52090"/>
    <w:rsid w:val="00F52E57"/>
    <w:rsid w:val="00F53E06"/>
    <w:rsid w:val="00F54188"/>
    <w:rsid w:val="00F54CC0"/>
    <w:rsid w:val="00F55970"/>
    <w:rsid w:val="00F60F4C"/>
    <w:rsid w:val="00F65DCB"/>
    <w:rsid w:val="00F660A0"/>
    <w:rsid w:val="00F701EE"/>
    <w:rsid w:val="00F7181B"/>
    <w:rsid w:val="00F727A5"/>
    <w:rsid w:val="00F831E3"/>
    <w:rsid w:val="00F836DD"/>
    <w:rsid w:val="00F847A9"/>
    <w:rsid w:val="00F93D24"/>
    <w:rsid w:val="00F97441"/>
    <w:rsid w:val="00FA1AA5"/>
    <w:rsid w:val="00FA3C6F"/>
    <w:rsid w:val="00FA45BB"/>
    <w:rsid w:val="00FA5FE9"/>
    <w:rsid w:val="00FA6558"/>
    <w:rsid w:val="00FA67D2"/>
    <w:rsid w:val="00FA7757"/>
    <w:rsid w:val="00FA7925"/>
    <w:rsid w:val="00FB302F"/>
    <w:rsid w:val="00FB5A92"/>
    <w:rsid w:val="00FB5F64"/>
    <w:rsid w:val="00FC17B8"/>
    <w:rsid w:val="00FC1C69"/>
    <w:rsid w:val="00FC21C0"/>
    <w:rsid w:val="00FC2726"/>
    <w:rsid w:val="00FC3739"/>
    <w:rsid w:val="00FC4123"/>
    <w:rsid w:val="00FC73EE"/>
    <w:rsid w:val="00FD18D1"/>
    <w:rsid w:val="00FD1A1E"/>
    <w:rsid w:val="00FD311E"/>
    <w:rsid w:val="00FD79DD"/>
    <w:rsid w:val="00FE0D1F"/>
    <w:rsid w:val="00FE5AD9"/>
    <w:rsid w:val="00FE5AFE"/>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0"/>
    <w:lsdException w:name="footer" w:uiPriority="0"/>
    <w:lsdException w:name="caption" w:uiPriority="0" w:qFormat="1"/>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5F"/>
    <w:pPr>
      <w:keepLines/>
    </w:pPr>
    <w:rPr>
      <w:rFonts w:eastAsiaTheme="minorHAnsi"/>
      <w:lang w:eastAsia="en-US"/>
    </w:rPr>
  </w:style>
  <w:style w:type="paragraph" w:styleId="Heading1">
    <w:name w:val="heading 1"/>
    <w:basedOn w:val="Normal"/>
    <w:next w:val="Normal"/>
    <w:link w:val="Heading1Char"/>
    <w:semiHidden/>
    <w:qFormat/>
    <w:rsid w:val="004C085F"/>
    <w:pPr>
      <w:keepNext/>
      <w:spacing w:before="48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4C085F"/>
    <w:pPr>
      <w:keepNext/>
      <w:spacing w:before="36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4C085F"/>
    <w:pPr>
      <w:keepNext/>
      <w:spacing w:before="36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4C085F"/>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4C085F"/>
    <w:pPr>
      <w:keepNext/>
      <w:spacing w:before="360"/>
      <w:outlineLvl w:val="4"/>
    </w:pPr>
    <w:rPr>
      <w:b/>
      <w:bCs/>
      <w:iCs/>
      <w:szCs w:val="26"/>
    </w:rPr>
  </w:style>
  <w:style w:type="paragraph" w:styleId="Heading6">
    <w:name w:val="heading 6"/>
    <w:basedOn w:val="Normal"/>
    <w:next w:val="Normal"/>
    <w:link w:val="Heading6Char"/>
    <w:uiPriority w:val="1"/>
    <w:semiHidden/>
    <w:qFormat/>
    <w:rsid w:val="004C085F"/>
    <w:pPr>
      <w:spacing w:before="360"/>
      <w:outlineLvl w:val="5"/>
    </w:pPr>
    <w:rPr>
      <w:b/>
      <w:bCs/>
      <w:i/>
      <w:szCs w:val="22"/>
    </w:rPr>
  </w:style>
  <w:style w:type="paragraph" w:styleId="Heading7">
    <w:name w:val="heading 7"/>
    <w:basedOn w:val="Normal"/>
    <w:next w:val="Normal"/>
    <w:uiPriority w:val="99"/>
    <w:semiHidden/>
    <w:qFormat/>
    <w:rsid w:val="004C085F"/>
    <w:pPr>
      <w:spacing w:after="60"/>
      <w:outlineLvl w:val="6"/>
    </w:pPr>
  </w:style>
  <w:style w:type="paragraph" w:styleId="Heading8">
    <w:name w:val="heading 8"/>
    <w:basedOn w:val="Normal"/>
    <w:next w:val="Normal"/>
    <w:uiPriority w:val="99"/>
    <w:semiHidden/>
    <w:qFormat/>
    <w:rsid w:val="004C085F"/>
    <w:pPr>
      <w:spacing w:after="60"/>
      <w:outlineLvl w:val="7"/>
    </w:pPr>
    <w:rPr>
      <w:i/>
      <w:iCs/>
    </w:rPr>
  </w:style>
  <w:style w:type="paragraph" w:styleId="Heading9">
    <w:name w:val="heading 9"/>
    <w:basedOn w:val="Normal"/>
    <w:next w:val="Normal"/>
    <w:uiPriority w:val="99"/>
    <w:semiHidden/>
    <w:qFormat/>
    <w:rsid w:val="004C085F"/>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4C085F"/>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semiHidden/>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4C085F"/>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4C085F"/>
    <w:rPr>
      <w:b/>
      <w:bCs/>
    </w:rPr>
  </w:style>
  <w:style w:type="paragraph" w:styleId="Subtitle">
    <w:name w:val="Subtitle"/>
    <w:basedOn w:val="Normal"/>
    <w:uiPriority w:val="1"/>
    <w:semiHidden/>
    <w:qFormat/>
    <w:rsid w:val="004C085F"/>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4C085F"/>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4C085F"/>
    <w:pPr>
      <w:spacing w:before="0" w:after="0"/>
    </w:pPr>
    <w:rPr>
      <w:sz w:val="8"/>
    </w:rPr>
  </w:style>
  <w:style w:type="paragraph" w:customStyle="1" w:styleId="Numberedpara1level3a">
    <w:name w:val="Numbered para (1) level 3 (a)"/>
    <w:basedOn w:val="Normal"/>
    <w:semiHidden/>
    <w:rsid w:val="00065F18"/>
    <w:pPr>
      <w:numPr>
        <w:ilvl w:val="2"/>
        <w:numId w:val="50"/>
      </w:numPr>
    </w:pPr>
  </w:style>
  <w:style w:type="paragraph" w:customStyle="1" w:styleId="Numberedpara1level4i">
    <w:name w:val="Numbered para (1) level 4 (i)"/>
    <w:basedOn w:val="Normal"/>
    <w:semiHidden/>
    <w:rsid w:val="00065F18"/>
    <w:pPr>
      <w:numPr>
        <w:ilvl w:val="3"/>
        <w:numId w:val="50"/>
      </w:numPr>
    </w:pPr>
  </w:style>
  <w:style w:type="paragraph" w:customStyle="1" w:styleId="Bullet">
    <w:name w:val="Bullet"/>
    <w:basedOn w:val="Normal"/>
    <w:rsid w:val="00065F18"/>
    <w:pPr>
      <w:numPr>
        <w:numId w:val="14"/>
      </w:numPr>
      <w:spacing w:before="80" w:after="80"/>
    </w:pPr>
    <w:rPr>
      <w:noProof/>
    </w:r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40"/>
      </w:numPr>
      <w:spacing w:before="80" w:after="80"/>
    </w:pPr>
  </w:style>
  <w:style w:type="paragraph" w:customStyle="1" w:styleId="List123">
    <w:name w:val="List 1 2 3"/>
    <w:basedOn w:val="Normal"/>
    <w:rsid w:val="001B369D"/>
    <w:pPr>
      <w:numPr>
        <w:numId w:val="42"/>
      </w:numPr>
      <w:spacing w:before="80" w:after="80"/>
    </w:pPr>
  </w:style>
  <w:style w:type="paragraph" w:styleId="FootnoteText">
    <w:name w:val="footnote text"/>
    <w:basedOn w:val="Normal"/>
    <w:link w:val="FootnoteTextChar"/>
    <w:uiPriority w:val="99"/>
    <w:semiHidden/>
    <w:rsid w:val="00065F18"/>
    <w:pPr>
      <w:spacing w:before="60" w:after="60" w:line="192" w:lineRule="auto"/>
      <w:ind w:left="130" w:hanging="130"/>
    </w:pPr>
    <w:rPr>
      <w:sz w:val="20"/>
      <w:szCs w:val="20"/>
    </w:rPr>
  </w:style>
  <w:style w:type="character" w:styleId="FootnoteReference">
    <w:name w:val="footnote reference"/>
    <w:uiPriority w:val="99"/>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4C085F"/>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4C085F"/>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4C085F"/>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semiHidden/>
    <w:rsid w:val="00065F18"/>
    <w:pPr>
      <w:pageBreakBefore/>
      <w:numPr>
        <w:numId w:val="18"/>
      </w:numPr>
      <w:tabs>
        <w:tab w:val="left" w:pos="2268"/>
      </w:tabs>
      <w:spacing w:before="0"/>
      <w:outlineLvl w:val="7"/>
    </w:p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4C085F"/>
    <w:pPr>
      <w:numPr>
        <w:ilvl w:val="1"/>
        <w:numId w:val="40"/>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4C085F"/>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Cabinetpaper">
    <w:name w:val="_Cabinet paper"/>
    <w:basedOn w:val="TableNormal"/>
    <w:uiPriority w:val="99"/>
    <w:rsid w:val="00BF0BE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styleId="SubtleEmphasis">
    <w:name w:val="Subtle Emphasis"/>
    <w:basedOn w:val="DefaultParagraphFont"/>
    <w:uiPriority w:val="99"/>
    <w:semiHidden/>
    <w:qFormat/>
    <w:rsid w:val="004C085F"/>
    <w:rPr>
      <w:i/>
      <w:iCs/>
    </w:rPr>
  </w:style>
  <w:style w:type="character" w:styleId="IntenseEmphasis">
    <w:name w:val="Intense Emphasis"/>
    <w:uiPriority w:val="99"/>
    <w:semiHidden/>
    <w:qFormat/>
    <w:rsid w:val="004C085F"/>
    <w:rPr>
      <w:b/>
      <w:i/>
    </w:rPr>
  </w:style>
  <w:style w:type="character" w:customStyle="1" w:styleId="Heading5Char">
    <w:name w:val="Heading 5 Char"/>
    <w:basedOn w:val="DefaultParagraphFont"/>
    <w:link w:val="Heading5"/>
    <w:uiPriority w:val="1"/>
    <w:semiHidden/>
    <w:rsid w:val="004C085F"/>
    <w:rPr>
      <w:rFonts w:eastAsiaTheme="minorHAnsi"/>
      <w:b/>
      <w:bCs/>
      <w:iCs/>
      <w:szCs w:val="26"/>
      <w:lang w:eastAsia="en-US"/>
    </w:rPr>
  </w:style>
  <w:style w:type="character" w:styleId="SubtleReference">
    <w:name w:val="Subtle Reference"/>
    <w:basedOn w:val="DefaultParagraphFont"/>
    <w:uiPriority w:val="99"/>
    <w:semiHidden/>
    <w:qFormat/>
    <w:rsid w:val="004C085F"/>
    <w:rPr>
      <w:rFonts w:ascii="Calibri" w:hAnsi="Calibri"/>
      <w:smallCaps/>
      <w:color w:val="A42F13" w:themeColor="accent2"/>
      <w:u w:val="single"/>
    </w:rPr>
  </w:style>
  <w:style w:type="character" w:styleId="BookTitle">
    <w:name w:val="Book Title"/>
    <w:basedOn w:val="DefaultParagraphFont"/>
    <w:uiPriority w:val="33"/>
    <w:semiHidden/>
    <w:qFormat/>
    <w:rsid w:val="004C085F"/>
    <w:rPr>
      <w:rFonts w:ascii="Calibri" w:hAnsi="Calibri"/>
      <w:b/>
      <w:bCs/>
      <w:smallCaps/>
      <w:spacing w:val="5"/>
    </w:rPr>
  </w:style>
  <w:style w:type="character" w:styleId="IntenseReference">
    <w:name w:val="Intense Reference"/>
    <w:basedOn w:val="DefaultParagraphFont"/>
    <w:uiPriority w:val="99"/>
    <w:semiHidden/>
    <w:qFormat/>
    <w:rsid w:val="004C085F"/>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4C085F"/>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4C085F"/>
    <w:rPr>
      <w:rFonts w:eastAsiaTheme="minorHAnsi"/>
      <w:b/>
      <w:bCs/>
      <w:i/>
      <w:iCs/>
      <w:color w:val="1F546B" w:themeColor="text2"/>
      <w:lang w:eastAsia="en-US"/>
    </w:rPr>
  </w:style>
  <w:style w:type="paragraph" w:customStyle="1" w:styleId="Headingpage">
    <w:name w:val="Heading page"/>
    <w:basedOn w:val="Normal"/>
    <w:next w:val="Normal"/>
    <w:rsid w:val="00484044"/>
    <w:pPr>
      <w:spacing w:before="400"/>
    </w:pPr>
    <w:rPr>
      <w:b/>
      <w:color w:val="000000" w:themeColor="text1"/>
      <w:sz w:val="28"/>
    </w:rPr>
  </w:style>
  <w:style w:type="paragraph" w:customStyle="1" w:styleId="Tablenormal0">
    <w:name w:val="Table normal"/>
    <w:basedOn w:val="Normal"/>
    <w:qFormat/>
    <w:rsid w:val="004C085F"/>
    <w:pPr>
      <w:spacing w:before="40" w:after="40"/>
    </w:pPr>
    <w:rPr>
      <w:sz w:val="22"/>
    </w:rPr>
  </w:style>
  <w:style w:type="character" w:customStyle="1" w:styleId="Heading6Char">
    <w:name w:val="Heading 6 Char"/>
    <w:basedOn w:val="DefaultParagraphFont"/>
    <w:link w:val="Heading6"/>
    <w:uiPriority w:val="1"/>
    <w:semiHidden/>
    <w:rsid w:val="004C085F"/>
    <w:rPr>
      <w:rFonts w:eastAsiaTheme="minorHAnsi"/>
      <w:b/>
      <w:bCs/>
      <w:i/>
      <w:szCs w:val="22"/>
      <w:lang w:eastAsia="en-US"/>
    </w:rPr>
  </w:style>
  <w:style w:type="paragraph" w:customStyle="1" w:styleId="ListABClevel3">
    <w:name w:val="List A B C level 3"/>
    <w:basedOn w:val="Normal"/>
    <w:uiPriority w:val="1"/>
    <w:semiHidden/>
    <w:qFormat/>
    <w:rsid w:val="004C085F"/>
    <w:pPr>
      <w:numPr>
        <w:ilvl w:val="2"/>
        <w:numId w:val="40"/>
      </w:numPr>
      <w:spacing w:before="80" w:after="80"/>
    </w:pPr>
  </w:style>
  <w:style w:type="paragraph" w:customStyle="1" w:styleId="List123level2">
    <w:name w:val="List 1 2 3 level 2"/>
    <w:basedOn w:val="Normal"/>
    <w:uiPriority w:val="1"/>
    <w:semiHidden/>
    <w:qFormat/>
    <w:rsid w:val="004C085F"/>
    <w:pPr>
      <w:numPr>
        <w:ilvl w:val="1"/>
        <w:numId w:val="42"/>
      </w:numPr>
      <w:spacing w:before="80" w:after="80"/>
    </w:pPr>
  </w:style>
  <w:style w:type="paragraph" w:customStyle="1" w:styleId="List123level3">
    <w:name w:val="List 1 2 3 level 3"/>
    <w:basedOn w:val="Normal"/>
    <w:uiPriority w:val="1"/>
    <w:semiHidden/>
    <w:qFormat/>
    <w:rsid w:val="004C085F"/>
    <w:pPr>
      <w:numPr>
        <w:ilvl w:val="2"/>
        <w:numId w:val="42"/>
      </w:numPr>
    </w:pPr>
  </w:style>
  <w:style w:type="paragraph" w:customStyle="1" w:styleId="Legislationsection">
    <w:name w:val="Legislation section"/>
    <w:basedOn w:val="Normal"/>
    <w:semiHidden/>
    <w:qFormat/>
    <w:rsid w:val="004C085F"/>
    <w:pPr>
      <w:numPr>
        <w:numId w:val="46"/>
      </w:numPr>
      <w:tabs>
        <w:tab w:val="left" w:pos="567"/>
      </w:tabs>
      <w:spacing w:after="60"/>
    </w:pPr>
    <w:rPr>
      <w:b/>
      <w:sz w:val="22"/>
    </w:rPr>
  </w:style>
  <w:style w:type="paragraph" w:customStyle="1" w:styleId="Legislationnumber">
    <w:name w:val="Legislation number"/>
    <w:basedOn w:val="Normal"/>
    <w:semiHidden/>
    <w:qFormat/>
    <w:rsid w:val="004C085F"/>
    <w:pPr>
      <w:numPr>
        <w:numId w:val="44"/>
      </w:numPr>
      <w:tabs>
        <w:tab w:val="left" w:pos="567"/>
      </w:tabs>
      <w:spacing w:before="60" w:after="60"/>
    </w:pPr>
    <w:rPr>
      <w:sz w:val="22"/>
    </w:rPr>
  </w:style>
  <w:style w:type="paragraph" w:customStyle="1" w:styleId="Legislationa">
    <w:name w:val="Legislation (a)"/>
    <w:basedOn w:val="Normal"/>
    <w:semiHidden/>
    <w:qFormat/>
    <w:rsid w:val="004C085F"/>
    <w:pPr>
      <w:numPr>
        <w:ilvl w:val="2"/>
        <w:numId w:val="46"/>
      </w:numPr>
      <w:spacing w:before="60" w:after="60"/>
    </w:pPr>
    <w:rPr>
      <w:sz w:val="22"/>
    </w:rPr>
  </w:style>
  <w:style w:type="paragraph" w:customStyle="1" w:styleId="Legislationi">
    <w:name w:val="Legislation (i)"/>
    <w:basedOn w:val="Normal"/>
    <w:semiHidden/>
    <w:qFormat/>
    <w:rsid w:val="004C085F"/>
    <w:pPr>
      <w:numPr>
        <w:ilvl w:val="3"/>
        <w:numId w:val="46"/>
      </w:numPr>
      <w:spacing w:before="60" w:after="60"/>
    </w:pPr>
    <w:rPr>
      <w:sz w:val="22"/>
    </w:rPr>
  </w:style>
  <w:style w:type="paragraph" w:customStyle="1" w:styleId="Numberedparaindentonly">
    <w:name w:val="Numbered para indent only"/>
    <w:basedOn w:val="Normal"/>
    <w:qFormat/>
    <w:rsid w:val="004C085F"/>
    <w:pPr>
      <w:ind w:left="567"/>
    </w:pPr>
  </w:style>
  <w:style w:type="paragraph" w:customStyle="1" w:styleId="Spacer">
    <w:name w:val="Spacer"/>
    <w:basedOn w:val="Normal"/>
    <w:qFormat/>
    <w:rsid w:val="004C085F"/>
    <w:pPr>
      <w:spacing w:before="0" w:after="0"/>
    </w:pPr>
  </w:style>
  <w:style w:type="paragraph" w:customStyle="1" w:styleId="Page">
    <w:name w:val="Page"/>
    <w:basedOn w:val="Spacer"/>
    <w:semiHidden/>
    <w:qFormat/>
    <w:rsid w:val="004C085F"/>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4C085F"/>
    <w:rPr>
      <w:sz w:val="24"/>
    </w:rPr>
  </w:style>
  <w:style w:type="paragraph" w:customStyle="1" w:styleId="Tableheading12pt">
    <w:name w:val="Table heading 12pt"/>
    <w:basedOn w:val="Tableheading"/>
    <w:semiHidden/>
    <w:qFormat/>
    <w:rsid w:val="004C085F"/>
    <w:rPr>
      <w:sz w:val="24"/>
    </w:rPr>
  </w:style>
  <w:style w:type="paragraph" w:customStyle="1" w:styleId="Documentationpageheading">
    <w:name w:val="Documentation page heading"/>
    <w:basedOn w:val="Normal"/>
    <w:semiHidden/>
    <w:qFormat/>
    <w:rsid w:val="004C085F"/>
    <w:pPr>
      <w:spacing w:after="0"/>
    </w:pPr>
    <w:rPr>
      <w:b/>
      <w:color w:val="1F546B" w:themeColor="text2"/>
      <w:sz w:val="36"/>
    </w:rPr>
  </w:style>
  <w:style w:type="paragraph" w:customStyle="1" w:styleId="Documentationpagesubheading">
    <w:name w:val="Documentation page subheading"/>
    <w:basedOn w:val="Documentationpageheading"/>
    <w:semiHidden/>
    <w:qFormat/>
    <w:rsid w:val="004C085F"/>
    <w:rPr>
      <w:sz w:val="28"/>
    </w:rPr>
  </w:style>
  <w:style w:type="paragraph" w:customStyle="1" w:styleId="Documentationpagetable">
    <w:name w:val="Documentation page table"/>
    <w:basedOn w:val="Normal"/>
    <w:semiHidden/>
    <w:qFormat/>
    <w:rsid w:val="004C085F"/>
    <w:pPr>
      <w:spacing w:before="44" w:after="24"/>
    </w:pPr>
    <w:rPr>
      <w:rFonts w:cstheme="minorBidi"/>
      <w:sz w:val="20"/>
    </w:rPr>
  </w:style>
  <w:style w:type="paragraph" w:customStyle="1" w:styleId="Documentationpagetableheading">
    <w:name w:val="Documentation page table heading"/>
    <w:basedOn w:val="Normal"/>
    <w:semiHidden/>
    <w:qFormat/>
    <w:rsid w:val="004C085F"/>
    <w:pPr>
      <w:spacing w:before="40" w:after="40"/>
    </w:pPr>
    <w:rPr>
      <w:rFonts w:cstheme="minorBidi"/>
      <w:b/>
      <w:color w:val="FFFFFF" w:themeColor="background1"/>
      <w:sz w:val="20"/>
    </w:rPr>
  </w:style>
  <w:style w:type="paragraph" w:customStyle="1" w:styleId="Numberedpara3subheading">
    <w:name w:val="Numbered para (3) subheading"/>
    <w:basedOn w:val="Normal"/>
    <w:next w:val="Normal"/>
    <w:semiHidden/>
    <w:rsid w:val="00065F18"/>
    <w:pPr>
      <w:spacing w:before="240"/>
    </w:pPr>
    <w:rPr>
      <w:b/>
      <w:i/>
    </w:rPr>
  </w:style>
  <w:style w:type="paragraph" w:customStyle="1" w:styleId="Numberedpara3level1">
    <w:name w:val="Numbered para (3) level 1"/>
    <w:basedOn w:val="Normal"/>
    <w:qFormat/>
    <w:rsid w:val="004C085F"/>
    <w:pPr>
      <w:numPr>
        <w:numId w:val="49"/>
      </w:numPr>
    </w:pPr>
  </w:style>
  <w:style w:type="paragraph" w:customStyle="1" w:styleId="Numberedpara3level211">
    <w:name w:val="Numbered para (3) level 2 (1.1)"/>
    <w:basedOn w:val="Normal"/>
    <w:autoRedefine/>
    <w:qFormat/>
    <w:rsid w:val="004C085F"/>
    <w:pPr>
      <w:numPr>
        <w:ilvl w:val="1"/>
        <w:numId w:val="49"/>
      </w:numPr>
      <w:ind w:left="1304" w:hanging="737"/>
    </w:pPr>
  </w:style>
  <w:style w:type="paragraph" w:customStyle="1" w:styleId="Numberedpara3level3111">
    <w:name w:val="Numbered para (3) level 3 (1.1.1)"/>
    <w:basedOn w:val="Normal"/>
    <w:qFormat/>
    <w:rsid w:val="004C085F"/>
    <w:pPr>
      <w:numPr>
        <w:ilvl w:val="2"/>
        <w:numId w:val="49"/>
      </w:numPr>
    </w:pPr>
  </w:style>
  <w:style w:type="paragraph" w:customStyle="1" w:styleId="Title2">
    <w:name w:val="Title 2"/>
    <w:basedOn w:val="Title"/>
    <w:semiHidden/>
    <w:qFormat/>
    <w:rsid w:val="004C085F"/>
    <w:rPr>
      <w:sz w:val="52"/>
    </w:rPr>
  </w:style>
  <w:style w:type="paragraph" w:customStyle="1" w:styleId="Numberedpara3heading">
    <w:name w:val="Numbered para (3) heading"/>
    <w:basedOn w:val="Normal"/>
    <w:semiHidden/>
    <w:qFormat/>
    <w:rsid w:val="004C085F"/>
    <w:pPr>
      <w:keepNext/>
      <w:spacing w:before="200"/>
    </w:pPr>
    <w:rPr>
      <w:b/>
    </w:rPr>
  </w:style>
  <w:style w:type="character" w:customStyle="1" w:styleId="HeaderChar">
    <w:name w:val="Header Char"/>
    <w:basedOn w:val="DefaultParagraphFont"/>
    <w:link w:val="Header"/>
    <w:semiHidden/>
    <w:rsid w:val="002D38AA"/>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4C085F"/>
    <w:rPr>
      <w:b/>
      <w:i w:val="0"/>
      <w:caps/>
      <w:smallCaps w:val="0"/>
      <w:sz w:val="22"/>
    </w:rPr>
  </w:style>
  <w:style w:type="paragraph" w:customStyle="1" w:styleId="Numberedpara1level211">
    <w:name w:val="Numbered para (1) level 2 (1.1)"/>
    <w:basedOn w:val="Normal"/>
    <w:semiHidden/>
    <w:rsid w:val="00065F18"/>
    <w:pPr>
      <w:numPr>
        <w:ilvl w:val="1"/>
        <w:numId w:val="50"/>
      </w:numPr>
    </w:pPr>
  </w:style>
  <w:style w:type="paragraph" w:customStyle="1" w:styleId="Numberedpara11headingwithnumber">
    <w:name w:val="Numbered para (1) 1 (heading with number)"/>
    <w:basedOn w:val="Normal"/>
    <w:semiHidden/>
    <w:qFormat/>
    <w:rsid w:val="004C085F"/>
    <w:pPr>
      <w:numPr>
        <w:numId w:val="50"/>
      </w:numPr>
      <w:spacing w:before="240"/>
    </w:pPr>
    <w:rPr>
      <w:b/>
      <w:sz w:val="28"/>
    </w:rPr>
  </w:style>
  <w:style w:type="paragraph" w:customStyle="1" w:styleId="Crossreference">
    <w:name w:val="Cross reference"/>
    <w:basedOn w:val="Normal"/>
    <w:link w:val="CrossreferenceChar"/>
    <w:semiHidden/>
    <w:qFormat/>
    <w:rsid w:val="004C085F"/>
    <w:rPr>
      <w:i/>
      <w:color w:val="000000" w:themeColor="text1"/>
      <w:u w:val="single"/>
    </w:rPr>
  </w:style>
  <w:style w:type="paragraph" w:customStyle="1" w:styleId="Headerforcabinetpapers">
    <w:name w:val="Header for cabinet papers"/>
    <w:basedOn w:val="Normal"/>
    <w:qFormat/>
    <w:rsid w:val="004C085F"/>
    <w:pPr>
      <w:tabs>
        <w:tab w:val="center" w:pos="4536"/>
      </w:tabs>
      <w:jc w:val="center"/>
    </w:pPr>
    <w:rPr>
      <w:b/>
      <w:caps/>
    </w:rPr>
  </w:style>
  <w:style w:type="paragraph" w:customStyle="1" w:styleId="FinancialtableLHC">
    <w:name w:val="Financial table LHC"/>
    <w:basedOn w:val="Normal"/>
    <w:semiHidden/>
    <w:qFormat/>
    <w:rsid w:val="004C085F"/>
    <w:pPr>
      <w:spacing w:before="0" w:after="0"/>
      <w:contextualSpacing/>
    </w:pPr>
    <w:rPr>
      <w:sz w:val="22"/>
    </w:rPr>
  </w:style>
  <w:style w:type="paragraph" w:customStyle="1" w:styleId="Financialtablefigures">
    <w:name w:val="Financial table figures"/>
    <w:basedOn w:val="FinancialtableLHC"/>
    <w:semiHidden/>
    <w:qFormat/>
    <w:rsid w:val="004C085F"/>
    <w:pPr>
      <w:jc w:val="right"/>
    </w:pPr>
  </w:style>
  <w:style w:type="paragraph" w:customStyle="1" w:styleId="Financialtableyears">
    <w:name w:val="Financial table years"/>
    <w:basedOn w:val="Financialtablefigures"/>
    <w:semiHidden/>
    <w:qFormat/>
    <w:rsid w:val="004C085F"/>
    <w:pPr>
      <w:jc w:val="center"/>
    </w:pPr>
    <w:rPr>
      <w:b/>
      <w:sz w:val="20"/>
    </w:rPr>
  </w:style>
  <w:style w:type="paragraph" w:customStyle="1" w:styleId="Tablesource">
    <w:name w:val="Table source"/>
    <w:basedOn w:val="Normal"/>
    <w:next w:val="Numberedpara3level1"/>
    <w:qFormat/>
    <w:rsid w:val="004C085F"/>
    <w:pPr>
      <w:spacing w:before="40"/>
      <w:ind w:left="567"/>
    </w:pPr>
    <w:rPr>
      <w:sz w:val="22"/>
    </w:rPr>
  </w:style>
  <w:style w:type="paragraph" w:customStyle="1" w:styleId="Cabinetpaperparasubheading">
    <w:name w:val="Cabinet paper para subheading"/>
    <w:basedOn w:val="Normal"/>
    <w:next w:val="Numberedpara3level1"/>
    <w:qFormat/>
    <w:rsid w:val="004C085F"/>
    <w:pPr>
      <w:keepNext/>
      <w:spacing w:before="240"/>
    </w:pPr>
    <w:rPr>
      <w:b/>
      <w:i/>
    </w:rPr>
  </w:style>
  <w:style w:type="paragraph" w:customStyle="1" w:styleId="Cabinetpaperparaheading">
    <w:name w:val="Cabinet paper para heading"/>
    <w:basedOn w:val="Normal"/>
    <w:next w:val="Numberedpara3level1"/>
    <w:qFormat/>
    <w:rsid w:val="004C085F"/>
    <w:pPr>
      <w:keepNext/>
      <w:spacing w:before="200"/>
    </w:pPr>
    <w:rPr>
      <w:b/>
      <w:sz w:val="26"/>
    </w:rPr>
  </w:style>
  <w:style w:type="paragraph" w:customStyle="1" w:styleId="Cabinetpaperparasubsubheading">
    <w:name w:val="Cabinet paper para subsubheading"/>
    <w:basedOn w:val="Normal"/>
    <w:next w:val="Numberedpara3level1"/>
    <w:qFormat/>
    <w:rsid w:val="004C085F"/>
    <w:pPr>
      <w:keepNext/>
      <w:keepLines w:val="0"/>
      <w:spacing w:before="240"/>
    </w:pPr>
    <w:rPr>
      <w:i/>
    </w:rPr>
  </w:style>
  <w:style w:type="character" w:customStyle="1" w:styleId="CrossreferenceChar">
    <w:name w:val="Cross reference Char"/>
    <w:basedOn w:val="DefaultParagraphFont"/>
    <w:link w:val="Crossreference"/>
    <w:semiHidden/>
    <w:rsid w:val="004C085F"/>
    <w:rPr>
      <w:rFonts w:eastAsiaTheme="minorHAnsi"/>
      <w:i/>
      <w:color w:val="000000" w:themeColor="text1"/>
      <w:u w:val="single"/>
      <w:lang w:eastAsia="en-US"/>
    </w:rPr>
  </w:style>
  <w:style w:type="character" w:customStyle="1" w:styleId="Crossreferences">
    <w:name w:val="Cross references"/>
    <w:basedOn w:val="DefaultParagraphFont"/>
    <w:uiPriority w:val="1"/>
    <w:qFormat/>
    <w:rsid w:val="004C085F"/>
    <w:rPr>
      <w:i/>
      <w:u w:val="single"/>
    </w:rPr>
  </w:style>
  <w:style w:type="table" w:customStyle="1" w:styleId="Ministerial">
    <w:name w:val="_Ministerial"/>
    <w:basedOn w:val="TableNormal"/>
    <w:uiPriority w:val="99"/>
    <w:rsid w:val="005B76B3"/>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styleId="CommentText">
    <w:name w:val="annotation text"/>
    <w:basedOn w:val="Normal"/>
    <w:link w:val="CommentTextChar"/>
    <w:uiPriority w:val="99"/>
    <w:semiHidden/>
    <w:unhideWhenUsed/>
    <w:rsid w:val="00302C91"/>
    <w:rPr>
      <w:sz w:val="20"/>
      <w:szCs w:val="20"/>
    </w:rPr>
  </w:style>
  <w:style w:type="character" w:customStyle="1" w:styleId="CommentTextChar">
    <w:name w:val="Comment Text Char"/>
    <w:basedOn w:val="DefaultParagraphFont"/>
    <w:link w:val="CommentText"/>
    <w:uiPriority w:val="99"/>
    <w:semiHidden/>
    <w:rsid w:val="00302C9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02C91"/>
    <w:rPr>
      <w:b/>
      <w:bCs/>
    </w:rPr>
  </w:style>
  <w:style w:type="character" w:customStyle="1" w:styleId="CommentSubjectChar">
    <w:name w:val="Comment Subject Char"/>
    <w:basedOn w:val="CommentTextChar"/>
    <w:link w:val="CommentSubject"/>
    <w:uiPriority w:val="99"/>
    <w:semiHidden/>
    <w:rsid w:val="00302C91"/>
    <w:rPr>
      <w:rFonts w:eastAsiaTheme="minorHAnsi"/>
      <w:b/>
      <w:bCs/>
      <w:sz w:val="20"/>
      <w:szCs w:val="20"/>
      <w:lang w:eastAsia="en-US"/>
    </w:rPr>
  </w:style>
  <w:style w:type="character" w:customStyle="1" w:styleId="FootnoteTextChar">
    <w:name w:val="Footnote Text Char"/>
    <w:basedOn w:val="DefaultParagraphFont"/>
    <w:link w:val="FootnoteText"/>
    <w:uiPriority w:val="99"/>
    <w:semiHidden/>
    <w:rsid w:val="0079634E"/>
    <w:rPr>
      <w:rFonts w:eastAsiaTheme="minorHAnsi"/>
      <w:sz w:val="20"/>
      <w:szCs w:val="20"/>
      <w:lang w:eastAsia="en-US"/>
    </w:rPr>
  </w:style>
  <w:style w:type="paragraph" w:customStyle="1" w:styleId="Numberedpara2subheading">
    <w:name w:val="Numbered para (2) subheading"/>
    <w:basedOn w:val="Normal"/>
    <w:next w:val="Normal"/>
    <w:semiHidden/>
    <w:rsid w:val="002E0AAB"/>
    <w:pPr>
      <w:keepNext/>
      <w:spacing w:before="240"/>
    </w:pPr>
    <w:rPr>
      <w:b/>
      <w:i/>
    </w:rPr>
  </w:style>
  <w:style w:type="paragraph" w:styleId="ListParagraph">
    <w:name w:val="List Paragraph"/>
    <w:basedOn w:val="Bullet"/>
    <w:uiPriority w:val="34"/>
    <w:qFormat/>
    <w:rsid w:val="004C085F"/>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0"/>
    <w:lsdException w:name="footer" w:uiPriority="0"/>
    <w:lsdException w:name="caption" w:uiPriority="0" w:qFormat="1"/>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5F"/>
    <w:pPr>
      <w:keepLines/>
    </w:pPr>
    <w:rPr>
      <w:rFonts w:eastAsiaTheme="minorHAnsi"/>
      <w:lang w:eastAsia="en-US"/>
    </w:rPr>
  </w:style>
  <w:style w:type="paragraph" w:styleId="Heading1">
    <w:name w:val="heading 1"/>
    <w:basedOn w:val="Normal"/>
    <w:next w:val="Normal"/>
    <w:link w:val="Heading1Char"/>
    <w:semiHidden/>
    <w:qFormat/>
    <w:rsid w:val="004C085F"/>
    <w:pPr>
      <w:keepNext/>
      <w:spacing w:before="48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4C085F"/>
    <w:pPr>
      <w:keepNext/>
      <w:spacing w:before="36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4C085F"/>
    <w:pPr>
      <w:keepNext/>
      <w:spacing w:before="36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4C085F"/>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4C085F"/>
    <w:pPr>
      <w:keepNext/>
      <w:spacing w:before="360"/>
      <w:outlineLvl w:val="4"/>
    </w:pPr>
    <w:rPr>
      <w:b/>
      <w:bCs/>
      <w:iCs/>
      <w:szCs w:val="26"/>
    </w:rPr>
  </w:style>
  <w:style w:type="paragraph" w:styleId="Heading6">
    <w:name w:val="heading 6"/>
    <w:basedOn w:val="Normal"/>
    <w:next w:val="Normal"/>
    <w:link w:val="Heading6Char"/>
    <w:uiPriority w:val="1"/>
    <w:semiHidden/>
    <w:qFormat/>
    <w:rsid w:val="004C085F"/>
    <w:pPr>
      <w:spacing w:before="360"/>
      <w:outlineLvl w:val="5"/>
    </w:pPr>
    <w:rPr>
      <w:b/>
      <w:bCs/>
      <w:i/>
      <w:szCs w:val="22"/>
    </w:rPr>
  </w:style>
  <w:style w:type="paragraph" w:styleId="Heading7">
    <w:name w:val="heading 7"/>
    <w:basedOn w:val="Normal"/>
    <w:next w:val="Normal"/>
    <w:uiPriority w:val="99"/>
    <w:semiHidden/>
    <w:qFormat/>
    <w:rsid w:val="004C085F"/>
    <w:pPr>
      <w:spacing w:after="60"/>
      <w:outlineLvl w:val="6"/>
    </w:pPr>
  </w:style>
  <w:style w:type="paragraph" w:styleId="Heading8">
    <w:name w:val="heading 8"/>
    <w:basedOn w:val="Normal"/>
    <w:next w:val="Normal"/>
    <w:uiPriority w:val="99"/>
    <w:semiHidden/>
    <w:qFormat/>
    <w:rsid w:val="004C085F"/>
    <w:pPr>
      <w:spacing w:after="60"/>
      <w:outlineLvl w:val="7"/>
    </w:pPr>
    <w:rPr>
      <w:i/>
      <w:iCs/>
    </w:rPr>
  </w:style>
  <w:style w:type="paragraph" w:styleId="Heading9">
    <w:name w:val="heading 9"/>
    <w:basedOn w:val="Normal"/>
    <w:next w:val="Normal"/>
    <w:uiPriority w:val="99"/>
    <w:semiHidden/>
    <w:qFormat/>
    <w:rsid w:val="004C085F"/>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4C085F"/>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semiHidden/>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4C085F"/>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4C085F"/>
    <w:rPr>
      <w:b/>
      <w:bCs/>
    </w:rPr>
  </w:style>
  <w:style w:type="paragraph" w:styleId="Subtitle">
    <w:name w:val="Subtitle"/>
    <w:basedOn w:val="Normal"/>
    <w:uiPriority w:val="1"/>
    <w:semiHidden/>
    <w:qFormat/>
    <w:rsid w:val="004C085F"/>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4C085F"/>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4C085F"/>
    <w:pPr>
      <w:spacing w:before="0" w:after="0"/>
    </w:pPr>
    <w:rPr>
      <w:sz w:val="8"/>
    </w:rPr>
  </w:style>
  <w:style w:type="paragraph" w:customStyle="1" w:styleId="Numberedpara1level3a">
    <w:name w:val="Numbered para (1) level 3 (a)"/>
    <w:basedOn w:val="Normal"/>
    <w:semiHidden/>
    <w:rsid w:val="00065F18"/>
    <w:pPr>
      <w:numPr>
        <w:ilvl w:val="2"/>
        <w:numId w:val="50"/>
      </w:numPr>
    </w:pPr>
  </w:style>
  <w:style w:type="paragraph" w:customStyle="1" w:styleId="Numberedpara1level4i">
    <w:name w:val="Numbered para (1) level 4 (i)"/>
    <w:basedOn w:val="Normal"/>
    <w:semiHidden/>
    <w:rsid w:val="00065F18"/>
    <w:pPr>
      <w:numPr>
        <w:ilvl w:val="3"/>
        <w:numId w:val="50"/>
      </w:numPr>
    </w:pPr>
  </w:style>
  <w:style w:type="paragraph" w:customStyle="1" w:styleId="Bullet">
    <w:name w:val="Bullet"/>
    <w:basedOn w:val="Normal"/>
    <w:rsid w:val="00065F18"/>
    <w:pPr>
      <w:numPr>
        <w:numId w:val="14"/>
      </w:numPr>
      <w:spacing w:before="80" w:after="80"/>
    </w:pPr>
    <w:rPr>
      <w:noProof/>
    </w:r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40"/>
      </w:numPr>
      <w:spacing w:before="80" w:after="80"/>
    </w:pPr>
  </w:style>
  <w:style w:type="paragraph" w:customStyle="1" w:styleId="List123">
    <w:name w:val="List 1 2 3"/>
    <w:basedOn w:val="Normal"/>
    <w:rsid w:val="001B369D"/>
    <w:pPr>
      <w:numPr>
        <w:numId w:val="42"/>
      </w:numPr>
      <w:spacing w:before="80" w:after="80"/>
    </w:pPr>
  </w:style>
  <w:style w:type="paragraph" w:styleId="FootnoteText">
    <w:name w:val="footnote text"/>
    <w:basedOn w:val="Normal"/>
    <w:link w:val="FootnoteTextChar"/>
    <w:uiPriority w:val="99"/>
    <w:semiHidden/>
    <w:rsid w:val="00065F18"/>
    <w:pPr>
      <w:spacing w:before="60" w:after="60" w:line="192" w:lineRule="auto"/>
      <w:ind w:left="130" w:hanging="130"/>
    </w:pPr>
    <w:rPr>
      <w:sz w:val="20"/>
      <w:szCs w:val="20"/>
    </w:rPr>
  </w:style>
  <w:style w:type="character" w:styleId="FootnoteReference">
    <w:name w:val="footnote reference"/>
    <w:uiPriority w:val="99"/>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4C085F"/>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4C085F"/>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4C085F"/>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semiHidden/>
    <w:rsid w:val="00065F18"/>
    <w:pPr>
      <w:pageBreakBefore/>
      <w:numPr>
        <w:numId w:val="18"/>
      </w:numPr>
      <w:tabs>
        <w:tab w:val="left" w:pos="2268"/>
      </w:tabs>
      <w:spacing w:before="0"/>
      <w:outlineLvl w:val="7"/>
    </w:p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4C085F"/>
    <w:pPr>
      <w:numPr>
        <w:ilvl w:val="1"/>
        <w:numId w:val="40"/>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4C085F"/>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Cabinetpaper">
    <w:name w:val="_Cabinet paper"/>
    <w:basedOn w:val="TableNormal"/>
    <w:uiPriority w:val="99"/>
    <w:rsid w:val="00BF0BE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styleId="SubtleEmphasis">
    <w:name w:val="Subtle Emphasis"/>
    <w:basedOn w:val="DefaultParagraphFont"/>
    <w:uiPriority w:val="99"/>
    <w:semiHidden/>
    <w:qFormat/>
    <w:rsid w:val="004C085F"/>
    <w:rPr>
      <w:i/>
      <w:iCs/>
    </w:rPr>
  </w:style>
  <w:style w:type="character" w:styleId="IntenseEmphasis">
    <w:name w:val="Intense Emphasis"/>
    <w:uiPriority w:val="99"/>
    <w:semiHidden/>
    <w:qFormat/>
    <w:rsid w:val="004C085F"/>
    <w:rPr>
      <w:b/>
      <w:i/>
    </w:rPr>
  </w:style>
  <w:style w:type="character" w:customStyle="1" w:styleId="Heading5Char">
    <w:name w:val="Heading 5 Char"/>
    <w:basedOn w:val="DefaultParagraphFont"/>
    <w:link w:val="Heading5"/>
    <w:uiPriority w:val="1"/>
    <w:semiHidden/>
    <w:rsid w:val="004C085F"/>
    <w:rPr>
      <w:rFonts w:eastAsiaTheme="minorHAnsi"/>
      <w:b/>
      <w:bCs/>
      <w:iCs/>
      <w:szCs w:val="26"/>
      <w:lang w:eastAsia="en-US"/>
    </w:rPr>
  </w:style>
  <w:style w:type="character" w:styleId="SubtleReference">
    <w:name w:val="Subtle Reference"/>
    <w:basedOn w:val="DefaultParagraphFont"/>
    <w:uiPriority w:val="99"/>
    <w:semiHidden/>
    <w:qFormat/>
    <w:rsid w:val="004C085F"/>
    <w:rPr>
      <w:rFonts w:ascii="Calibri" w:hAnsi="Calibri"/>
      <w:smallCaps/>
      <w:color w:val="A42F13" w:themeColor="accent2"/>
      <w:u w:val="single"/>
    </w:rPr>
  </w:style>
  <w:style w:type="character" w:styleId="BookTitle">
    <w:name w:val="Book Title"/>
    <w:basedOn w:val="DefaultParagraphFont"/>
    <w:uiPriority w:val="33"/>
    <w:semiHidden/>
    <w:qFormat/>
    <w:rsid w:val="004C085F"/>
    <w:rPr>
      <w:rFonts w:ascii="Calibri" w:hAnsi="Calibri"/>
      <w:b/>
      <w:bCs/>
      <w:smallCaps/>
      <w:spacing w:val="5"/>
    </w:rPr>
  </w:style>
  <w:style w:type="character" w:styleId="IntenseReference">
    <w:name w:val="Intense Reference"/>
    <w:basedOn w:val="DefaultParagraphFont"/>
    <w:uiPriority w:val="99"/>
    <w:semiHidden/>
    <w:qFormat/>
    <w:rsid w:val="004C085F"/>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4C085F"/>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4C085F"/>
    <w:rPr>
      <w:rFonts w:eastAsiaTheme="minorHAnsi"/>
      <w:b/>
      <w:bCs/>
      <w:i/>
      <w:iCs/>
      <w:color w:val="1F546B" w:themeColor="text2"/>
      <w:lang w:eastAsia="en-US"/>
    </w:rPr>
  </w:style>
  <w:style w:type="paragraph" w:customStyle="1" w:styleId="Headingpage">
    <w:name w:val="Heading page"/>
    <w:basedOn w:val="Normal"/>
    <w:next w:val="Normal"/>
    <w:rsid w:val="00484044"/>
    <w:pPr>
      <w:spacing w:before="400"/>
    </w:pPr>
    <w:rPr>
      <w:b/>
      <w:color w:val="000000" w:themeColor="text1"/>
      <w:sz w:val="28"/>
    </w:rPr>
  </w:style>
  <w:style w:type="paragraph" w:customStyle="1" w:styleId="Tablenormal0">
    <w:name w:val="Table normal"/>
    <w:basedOn w:val="Normal"/>
    <w:qFormat/>
    <w:rsid w:val="004C085F"/>
    <w:pPr>
      <w:spacing w:before="40" w:after="40"/>
    </w:pPr>
    <w:rPr>
      <w:sz w:val="22"/>
    </w:rPr>
  </w:style>
  <w:style w:type="character" w:customStyle="1" w:styleId="Heading6Char">
    <w:name w:val="Heading 6 Char"/>
    <w:basedOn w:val="DefaultParagraphFont"/>
    <w:link w:val="Heading6"/>
    <w:uiPriority w:val="1"/>
    <w:semiHidden/>
    <w:rsid w:val="004C085F"/>
    <w:rPr>
      <w:rFonts w:eastAsiaTheme="minorHAnsi"/>
      <w:b/>
      <w:bCs/>
      <w:i/>
      <w:szCs w:val="22"/>
      <w:lang w:eastAsia="en-US"/>
    </w:rPr>
  </w:style>
  <w:style w:type="paragraph" w:customStyle="1" w:styleId="ListABClevel3">
    <w:name w:val="List A B C level 3"/>
    <w:basedOn w:val="Normal"/>
    <w:uiPriority w:val="1"/>
    <w:semiHidden/>
    <w:qFormat/>
    <w:rsid w:val="004C085F"/>
    <w:pPr>
      <w:numPr>
        <w:ilvl w:val="2"/>
        <w:numId w:val="40"/>
      </w:numPr>
      <w:spacing w:before="80" w:after="80"/>
    </w:pPr>
  </w:style>
  <w:style w:type="paragraph" w:customStyle="1" w:styleId="List123level2">
    <w:name w:val="List 1 2 3 level 2"/>
    <w:basedOn w:val="Normal"/>
    <w:uiPriority w:val="1"/>
    <w:semiHidden/>
    <w:qFormat/>
    <w:rsid w:val="004C085F"/>
    <w:pPr>
      <w:numPr>
        <w:ilvl w:val="1"/>
        <w:numId w:val="42"/>
      </w:numPr>
      <w:spacing w:before="80" w:after="80"/>
    </w:pPr>
  </w:style>
  <w:style w:type="paragraph" w:customStyle="1" w:styleId="List123level3">
    <w:name w:val="List 1 2 3 level 3"/>
    <w:basedOn w:val="Normal"/>
    <w:uiPriority w:val="1"/>
    <w:semiHidden/>
    <w:qFormat/>
    <w:rsid w:val="004C085F"/>
    <w:pPr>
      <w:numPr>
        <w:ilvl w:val="2"/>
        <w:numId w:val="42"/>
      </w:numPr>
    </w:pPr>
  </w:style>
  <w:style w:type="paragraph" w:customStyle="1" w:styleId="Legislationsection">
    <w:name w:val="Legislation section"/>
    <w:basedOn w:val="Normal"/>
    <w:semiHidden/>
    <w:qFormat/>
    <w:rsid w:val="004C085F"/>
    <w:pPr>
      <w:numPr>
        <w:numId w:val="46"/>
      </w:numPr>
      <w:tabs>
        <w:tab w:val="left" w:pos="567"/>
      </w:tabs>
      <w:spacing w:after="60"/>
    </w:pPr>
    <w:rPr>
      <w:b/>
      <w:sz w:val="22"/>
    </w:rPr>
  </w:style>
  <w:style w:type="paragraph" w:customStyle="1" w:styleId="Legislationnumber">
    <w:name w:val="Legislation number"/>
    <w:basedOn w:val="Normal"/>
    <w:semiHidden/>
    <w:qFormat/>
    <w:rsid w:val="004C085F"/>
    <w:pPr>
      <w:numPr>
        <w:numId w:val="44"/>
      </w:numPr>
      <w:tabs>
        <w:tab w:val="left" w:pos="567"/>
      </w:tabs>
      <w:spacing w:before="60" w:after="60"/>
    </w:pPr>
    <w:rPr>
      <w:sz w:val="22"/>
    </w:rPr>
  </w:style>
  <w:style w:type="paragraph" w:customStyle="1" w:styleId="Legislationa">
    <w:name w:val="Legislation (a)"/>
    <w:basedOn w:val="Normal"/>
    <w:semiHidden/>
    <w:qFormat/>
    <w:rsid w:val="004C085F"/>
    <w:pPr>
      <w:numPr>
        <w:ilvl w:val="2"/>
        <w:numId w:val="46"/>
      </w:numPr>
      <w:spacing w:before="60" w:after="60"/>
    </w:pPr>
    <w:rPr>
      <w:sz w:val="22"/>
    </w:rPr>
  </w:style>
  <w:style w:type="paragraph" w:customStyle="1" w:styleId="Legislationi">
    <w:name w:val="Legislation (i)"/>
    <w:basedOn w:val="Normal"/>
    <w:semiHidden/>
    <w:qFormat/>
    <w:rsid w:val="004C085F"/>
    <w:pPr>
      <w:numPr>
        <w:ilvl w:val="3"/>
        <w:numId w:val="46"/>
      </w:numPr>
      <w:spacing w:before="60" w:after="60"/>
    </w:pPr>
    <w:rPr>
      <w:sz w:val="22"/>
    </w:rPr>
  </w:style>
  <w:style w:type="paragraph" w:customStyle="1" w:styleId="Numberedparaindentonly">
    <w:name w:val="Numbered para indent only"/>
    <w:basedOn w:val="Normal"/>
    <w:qFormat/>
    <w:rsid w:val="004C085F"/>
    <w:pPr>
      <w:ind w:left="567"/>
    </w:pPr>
  </w:style>
  <w:style w:type="paragraph" w:customStyle="1" w:styleId="Spacer">
    <w:name w:val="Spacer"/>
    <w:basedOn w:val="Normal"/>
    <w:qFormat/>
    <w:rsid w:val="004C085F"/>
    <w:pPr>
      <w:spacing w:before="0" w:after="0"/>
    </w:pPr>
  </w:style>
  <w:style w:type="paragraph" w:customStyle="1" w:styleId="Page">
    <w:name w:val="Page"/>
    <w:basedOn w:val="Spacer"/>
    <w:semiHidden/>
    <w:qFormat/>
    <w:rsid w:val="004C085F"/>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4C085F"/>
    <w:rPr>
      <w:sz w:val="24"/>
    </w:rPr>
  </w:style>
  <w:style w:type="paragraph" w:customStyle="1" w:styleId="Tableheading12pt">
    <w:name w:val="Table heading 12pt"/>
    <w:basedOn w:val="Tableheading"/>
    <w:semiHidden/>
    <w:qFormat/>
    <w:rsid w:val="004C085F"/>
    <w:rPr>
      <w:sz w:val="24"/>
    </w:rPr>
  </w:style>
  <w:style w:type="paragraph" w:customStyle="1" w:styleId="Documentationpageheading">
    <w:name w:val="Documentation page heading"/>
    <w:basedOn w:val="Normal"/>
    <w:semiHidden/>
    <w:qFormat/>
    <w:rsid w:val="004C085F"/>
    <w:pPr>
      <w:spacing w:after="0"/>
    </w:pPr>
    <w:rPr>
      <w:b/>
      <w:color w:val="1F546B" w:themeColor="text2"/>
      <w:sz w:val="36"/>
    </w:rPr>
  </w:style>
  <w:style w:type="paragraph" w:customStyle="1" w:styleId="Documentationpagesubheading">
    <w:name w:val="Documentation page subheading"/>
    <w:basedOn w:val="Documentationpageheading"/>
    <w:semiHidden/>
    <w:qFormat/>
    <w:rsid w:val="004C085F"/>
    <w:rPr>
      <w:sz w:val="28"/>
    </w:rPr>
  </w:style>
  <w:style w:type="paragraph" w:customStyle="1" w:styleId="Documentationpagetable">
    <w:name w:val="Documentation page table"/>
    <w:basedOn w:val="Normal"/>
    <w:semiHidden/>
    <w:qFormat/>
    <w:rsid w:val="004C085F"/>
    <w:pPr>
      <w:spacing w:before="44" w:after="24"/>
    </w:pPr>
    <w:rPr>
      <w:rFonts w:cstheme="minorBidi"/>
      <w:sz w:val="20"/>
    </w:rPr>
  </w:style>
  <w:style w:type="paragraph" w:customStyle="1" w:styleId="Documentationpagetableheading">
    <w:name w:val="Documentation page table heading"/>
    <w:basedOn w:val="Normal"/>
    <w:semiHidden/>
    <w:qFormat/>
    <w:rsid w:val="004C085F"/>
    <w:pPr>
      <w:spacing w:before="40" w:after="40"/>
    </w:pPr>
    <w:rPr>
      <w:rFonts w:cstheme="minorBidi"/>
      <w:b/>
      <w:color w:val="FFFFFF" w:themeColor="background1"/>
      <w:sz w:val="20"/>
    </w:rPr>
  </w:style>
  <w:style w:type="paragraph" w:customStyle="1" w:styleId="Numberedpara3subheading">
    <w:name w:val="Numbered para (3) subheading"/>
    <w:basedOn w:val="Normal"/>
    <w:next w:val="Normal"/>
    <w:semiHidden/>
    <w:rsid w:val="00065F18"/>
    <w:pPr>
      <w:spacing w:before="240"/>
    </w:pPr>
    <w:rPr>
      <w:b/>
      <w:i/>
    </w:rPr>
  </w:style>
  <w:style w:type="paragraph" w:customStyle="1" w:styleId="Numberedpara3level1">
    <w:name w:val="Numbered para (3) level 1"/>
    <w:basedOn w:val="Normal"/>
    <w:qFormat/>
    <w:rsid w:val="004C085F"/>
    <w:pPr>
      <w:numPr>
        <w:numId w:val="49"/>
      </w:numPr>
    </w:pPr>
  </w:style>
  <w:style w:type="paragraph" w:customStyle="1" w:styleId="Numberedpara3level211">
    <w:name w:val="Numbered para (3) level 2 (1.1)"/>
    <w:basedOn w:val="Normal"/>
    <w:autoRedefine/>
    <w:qFormat/>
    <w:rsid w:val="004C085F"/>
    <w:pPr>
      <w:numPr>
        <w:ilvl w:val="1"/>
        <w:numId w:val="49"/>
      </w:numPr>
      <w:ind w:left="1304" w:hanging="737"/>
    </w:pPr>
  </w:style>
  <w:style w:type="paragraph" w:customStyle="1" w:styleId="Numberedpara3level3111">
    <w:name w:val="Numbered para (3) level 3 (1.1.1)"/>
    <w:basedOn w:val="Normal"/>
    <w:qFormat/>
    <w:rsid w:val="004C085F"/>
    <w:pPr>
      <w:numPr>
        <w:ilvl w:val="2"/>
        <w:numId w:val="49"/>
      </w:numPr>
    </w:pPr>
  </w:style>
  <w:style w:type="paragraph" w:customStyle="1" w:styleId="Title2">
    <w:name w:val="Title 2"/>
    <w:basedOn w:val="Title"/>
    <w:semiHidden/>
    <w:qFormat/>
    <w:rsid w:val="004C085F"/>
    <w:rPr>
      <w:sz w:val="52"/>
    </w:rPr>
  </w:style>
  <w:style w:type="paragraph" w:customStyle="1" w:styleId="Numberedpara3heading">
    <w:name w:val="Numbered para (3) heading"/>
    <w:basedOn w:val="Normal"/>
    <w:semiHidden/>
    <w:qFormat/>
    <w:rsid w:val="004C085F"/>
    <w:pPr>
      <w:keepNext/>
      <w:spacing w:before="200"/>
    </w:pPr>
    <w:rPr>
      <w:b/>
    </w:rPr>
  </w:style>
  <w:style w:type="character" w:customStyle="1" w:styleId="HeaderChar">
    <w:name w:val="Header Char"/>
    <w:basedOn w:val="DefaultParagraphFont"/>
    <w:link w:val="Header"/>
    <w:semiHidden/>
    <w:rsid w:val="002D38AA"/>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4C085F"/>
    <w:rPr>
      <w:b/>
      <w:i w:val="0"/>
      <w:caps/>
      <w:smallCaps w:val="0"/>
      <w:sz w:val="22"/>
    </w:rPr>
  </w:style>
  <w:style w:type="paragraph" w:customStyle="1" w:styleId="Numberedpara1level211">
    <w:name w:val="Numbered para (1) level 2 (1.1)"/>
    <w:basedOn w:val="Normal"/>
    <w:semiHidden/>
    <w:rsid w:val="00065F18"/>
    <w:pPr>
      <w:numPr>
        <w:ilvl w:val="1"/>
        <w:numId w:val="50"/>
      </w:numPr>
    </w:pPr>
  </w:style>
  <w:style w:type="paragraph" w:customStyle="1" w:styleId="Numberedpara11headingwithnumber">
    <w:name w:val="Numbered para (1) 1 (heading with number)"/>
    <w:basedOn w:val="Normal"/>
    <w:semiHidden/>
    <w:qFormat/>
    <w:rsid w:val="004C085F"/>
    <w:pPr>
      <w:numPr>
        <w:numId w:val="50"/>
      </w:numPr>
      <w:spacing w:before="240"/>
    </w:pPr>
    <w:rPr>
      <w:b/>
      <w:sz w:val="28"/>
    </w:rPr>
  </w:style>
  <w:style w:type="paragraph" w:customStyle="1" w:styleId="Crossreference">
    <w:name w:val="Cross reference"/>
    <w:basedOn w:val="Normal"/>
    <w:link w:val="CrossreferenceChar"/>
    <w:semiHidden/>
    <w:qFormat/>
    <w:rsid w:val="004C085F"/>
    <w:rPr>
      <w:i/>
      <w:color w:val="000000" w:themeColor="text1"/>
      <w:u w:val="single"/>
    </w:rPr>
  </w:style>
  <w:style w:type="paragraph" w:customStyle="1" w:styleId="Headerforcabinetpapers">
    <w:name w:val="Header for cabinet papers"/>
    <w:basedOn w:val="Normal"/>
    <w:qFormat/>
    <w:rsid w:val="004C085F"/>
    <w:pPr>
      <w:tabs>
        <w:tab w:val="center" w:pos="4536"/>
      </w:tabs>
      <w:jc w:val="center"/>
    </w:pPr>
    <w:rPr>
      <w:b/>
      <w:caps/>
    </w:rPr>
  </w:style>
  <w:style w:type="paragraph" w:customStyle="1" w:styleId="FinancialtableLHC">
    <w:name w:val="Financial table LHC"/>
    <w:basedOn w:val="Normal"/>
    <w:semiHidden/>
    <w:qFormat/>
    <w:rsid w:val="004C085F"/>
    <w:pPr>
      <w:spacing w:before="0" w:after="0"/>
      <w:contextualSpacing/>
    </w:pPr>
    <w:rPr>
      <w:sz w:val="22"/>
    </w:rPr>
  </w:style>
  <w:style w:type="paragraph" w:customStyle="1" w:styleId="Financialtablefigures">
    <w:name w:val="Financial table figures"/>
    <w:basedOn w:val="FinancialtableLHC"/>
    <w:semiHidden/>
    <w:qFormat/>
    <w:rsid w:val="004C085F"/>
    <w:pPr>
      <w:jc w:val="right"/>
    </w:pPr>
  </w:style>
  <w:style w:type="paragraph" w:customStyle="1" w:styleId="Financialtableyears">
    <w:name w:val="Financial table years"/>
    <w:basedOn w:val="Financialtablefigures"/>
    <w:semiHidden/>
    <w:qFormat/>
    <w:rsid w:val="004C085F"/>
    <w:pPr>
      <w:jc w:val="center"/>
    </w:pPr>
    <w:rPr>
      <w:b/>
      <w:sz w:val="20"/>
    </w:rPr>
  </w:style>
  <w:style w:type="paragraph" w:customStyle="1" w:styleId="Tablesource">
    <w:name w:val="Table source"/>
    <w:basedOn w:val="Normal"/>
    <w:next w:val="Numberedpara3level1"/>
    <w:qFormat/>
    <w:rsid w:val="004C085F"/>
    <w:pPr>
      <w:spacing w:before="40"/>
      <w:ind w:left="567"/>
    </w:pPr>
    <w:rPr>
      <w:sz w:val="22"/>
    </w:rPr>
  </w:style>
  <w:style w:type="paragraph" w:customStyle="1" w:styleId="Cabinetpaperparasubheading">
    <w:name w:val="Cabinet paper para subheading"/>
    <w:basedOn w:val="Normal"/>
    <w:next w:val="Numberedpara3level1"/>
    <w:qFormat/>
    <w:rsid w:val="004C085F"/>
    <w:pPr>
      <w:keepNext/>
      <w:spacing w:before="240"/>
    </w:pPr>
    <w:rPr>
      <w:b/>
      <w:i/>
    </w:rPr>
  </w:style>
  <w:style w:type="paragraph" w:customStyle="1" w:styleId="Cabinetpaperparaheading">
    <w:name w:val="Cabinet paper para heading"/>
    <w:basedOn w:val="Normal"/>
    <w:next w:val="Numberedpara3level1"/>
    <w:qFormat/>
    <w:rsid w:val="004C085F"/>
    <w:pPr>
      <w:keepNext/>
      <w:spacing w:before="200"/>
    </w:pPr>
    <w:rPr>
      <w:b/>
      <w:sz w:val="26"/>
    </w:rPr>
  </w:style>
  <w:style w:type="paragraph" w:customStyle="1" w:styleId="Cabinetpaperparasubsubheading">
    <w:name w:val="Cabinet paper para subsubheading"/>
    <w:basedOn w:val="Normal"/>
    <w:next w:val="Numberedpara3level1"/>
    <w:qFormat/>
    <w:rsid w:val="004C085F"/>
    <w:pPr>
      <w:keepNext/>
      <w:keepLines w:val="0"/>
      <w:spacing w:before="240"/>
    </w:pPr>
    <w:rPr>
      <w:i/>
    </w:rPr>
  </w:style>
  <w:style w:type="character" w:customStyle="1" w:styleId="CrossreferenceChar">
    <w:name w:val="Cross reference Char"/>
    <w:basedOn w:val="DefaultParagraphFont"/>
    <w:link w:val="Crossreference"/>
    <w:semiHidden/>
    <w:rsid w:val="004C085F"/>
    <w:rPr>
      <w:rFonts w:eastAsiaTheme="minorHAnsi"/>
      <w:i/>
      <w:color w:val="000000" w:themeColor="text1"/>
      <w:u w:val="single"/>
      <w:lang w:eastAsia="en-US"/>
    </w:rPr>
  </w:style>
  <w:style w:type="character" w:customStyle="1" w:styleId="Crossreferences">
    <w:name w:val="Cross references"/>
    <w:basedOn w:val="DefaultParagraphFont"/>
    <w:uiPriority w:val="1"/>
    <w:qFormat/>
    <w:rsid w:val="004C085F"/>
    <w:rPr>
      <w:i/>
      <w:u w:val="single"/>
    </w:rPr>
  </w:style>
  <w:style w:type="table" w:customStyle="1" w:styleId="Ministerial">
    <w:name w:val="_Ministerial"/>
    <w:basedOn w:val="TableNormal"/>
    <w:uiPriority w:val="99"/>
    <w:rsid w:val="005B76B3"/>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styleId="CommentText">
    <w:name w:val="annotation text"/>
    <w:basedOn w:val="Normal"/>
    <w:link w:val="CommentTextChar"/>
    <w:uiPriority w:val="99"/>
    <w:semiHidden/>
    <w:unhideWhenUsed/>
    <w:rsid w:val="00302C91"/>
    <w:rPr>
      <w:sz w:val="20"/>
      <w:szCs w:val="20"/>
    </w:rPr>
  </w:style>
  <w:style w:type="character" w:customStyle="1" w:styleId="CommentTextChar">
    <w:name w:val="Comment Text Char"/>
    <w:basedOn w:val="DefaultParagraphFont"/>
    <w:link w:val="CommentText"/>
    <w:uiPriority w:val="99"/>
    <w:semiHidden/>
    <w:rsid w:val="00302C9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02C91"/>
    <w:rPr>
      <w:b/>
      <w:bCs/>
    </w:rPr>
  </w:style>
  <w:style w:type="character" w:customStyle="1" w:styleId="CommentSubjectChar">
    <w:name w:val="Comment Subject Char"/>
    <w:basedOn w:val="CommentTextChar"/>
    <w:link w:val="CommentSubject"/>
    <w:uiPriority w:val="99"/>
    <w:semiHidden/>
    <w:rsid w:val="00302C91"/>
    <w:rPr>
      <w:rFonts w:eastAsiaTheme="minorHAnsi"/>
      <w:b/>
      <w:bCs/>
      <w:sz w:val="20"/>
      <w:szCs w:val="20"/>
      <w:lang w:eastAsia="en-US"/>
    </w:rPr>
  </w:style>
  <w:style w:type="character" w:customStyle="1" w:styleId="FootnoteTextChar">
    <w:name w:val="Footnote Text Char"/>
    <w:basedOn w:val="DefaultParagraphFont"/>
    <w:link w:val="FootnoteText"/>
    <w:uiPriority w:val="99"/>
    <w:semiHidden/>
    <w:rsid w:val="0079634E"/>
    <w:rPr>
      <w:rFonts w:eastAsiaTheme="minorHAnsi"/>
      <w:sz w:val="20"/>
      <w:szCs w:val="20"/>
      <w:lang w:eastAsia="en-US"/>
    </w:rPr>
  </w:style>
  <w:style w:type="paragraph" w:customStyle="1" w:styleId="Numberedpara2subheading">
    <w:name w:val="Numbered para (2) subheading"/>
    <w:basedOn w:val="Normal"/>
    <w:next w:val="Normal"/>
    <w:semiHidden/>
    <w:rsid w:val="002E0AAB"/>
    <w:pPr>
      <w:keepNext/>
      <w:spacing w:before="240"/>
    </w:pPr>
    <w:rPr>
      <w:b/>
      <w:i/>
    </w:rPr>
  </w:style>
  <w:style w:type="paragraph" w:styleId="ListParagraph">
    <w:name w:val="List Paragraph"/>
    <w:basedOn w:val="Bullet"/>
    <w:uiPriority w:val="34"/>
    <w:qFormat/>
    <w:rsid w:val="004C085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1468">
      <w:bodyDiv w:val="1"/>
      <w:marLeft w:val="0"/>
      <w:marRight w:val="0"/>
      <w:marTop w:val="0"/>
      <w:marBottom w:val="0"/>
      <w:divBdr>
        <w:top w:val="none" w:sz="0" w:space="0" w:color="auto"/>
        <w:left w:val="none" w:sz="0" w:space="0" w:color="auto"/>
        <w:bottom w:val="none" w:sz="0" w:space="0" w:color="auto"/>
        <w:right w:val="none" w:sz="0" w:space="0" w:color="auto"/>
      </w:divBdr>
    </w:div>
    <w:div w:id="235357452">
      <w:bodyDiv w:val="1"/>
      <w:marLeft w:val="0"/>
      <w:marRight w:val="0"/>
      <w:marTop w:val="0"/>
      <w:marBottom w:val="0"/>
      <w:divBdr>
        <w:top w:val="none" w:sz="0" w:space="0" w:color="auto"/>
        <w:left w:val="none" w:sz="0" w:space="0" w:color="auto"/>
        <w:bottom w:val="none" w:sz="0" w:space="0" w:color="auto"/>
        <w:right w:val="none" w:sz="0" w:space="0" w:color="auto"/>
      </w:divBdr>
    </w:div>
    <w:div w:id="288976965">
      <w:bodyDiv w:val="1"/>
      <w:marLeft w:val="0"/>
      <w:marRight w:val="0"/>
      <w:marTop w:val="0"/>
      <w:marBottom w:val="0"/>
      <w:divBdr>
        <w:top w:val="none" w:sz="0" w:space="0" w:color="auto"/>
        <w:left w:val="none" w:sz="0" w:space="0" w:color="auto"/>
        <w:bottom w:val="none" w:sz="0" w:space="0" w:color="auto"/>
        <w:right w:val="none" w:sz="0" w:space="0" w:color="auto"/>
      </w:divBdr>
    </w:div>
    <w:div w:id="560678507">
      <w:bodyDiv w:val="1"/>
      <w:marLeft w:val="0"/>
      <w:marRight w:val="0"/>
      <w:marTop w:val="0"/>
      <w:marBottom w:val="0"/>
      <w:divBdr>
        <w:top w:val="none" w:sz="0" w:space="0" w:color="auto"/>
        <w:left w:val="none" w:sz="0" w:space="0" w:color="auto"/>
        <w:bottom w:val="none" w:sz="0" w:space="0" w:color="auto"/>
        <w:right w:val="none" w:sz="0" w:space="0" w:color="auto"/>
      </w:divBdr>
    </w:div>
    <w:div w:id="575095201">
      <w:bodyDiv w:val="1"/>
      <w:marLeft w:val="0"/>
      <w:marRight w:val="0"/>
      <w:marTop w:val="0"/>
      <w:marBottom w:val="0"/>
      <w:divBdr>
        <w:top w:val="none" w:sz="0" w:space="0" w:color="auto"/>
        <w:left w:val="none" w:sz="0" w:space="0" w:color="auto"/>
        <w:bottom w:val="none" w:sz="0" w:space="0" w:color="auto"/>
        <w:right w:val="none" w:sz="0" w:space="0" w:color="auto"/>
      </w:divBdr>
    </w:div>
    <w:div w:id="651372420">
      <w:bodyDiv w:val="1"/>
      <w:marLeft w:val="0"/>
      <w:marRight w:val="0"/>
      <w:marTop w:val="0"/>
      <w:marBottom w:val="0"/>
      <w:divBdr>
        <w:top w:val="none" w:sz="0" w:space="0" w:color="auto"/>
        <w:left w:val="none" w:sz="0" w:space="0" w:color="auto"/>
        <w:bottom w:val="none" w:sz="0" w:space="0" w:color="auto"/>
        <w:right w:val="none" w:sz="0" w:space="0" w:color="auto"/>
      </w:divBdr>
    </w:div>
    <w:div w:id="664090126">
      <w:bodyDiv w:val="1"/>
      <w:marLeft w:val="0"/>
      <w:marRight w:val="0"/>
      <w:marTop w:val="0"/>
      <w:marBottom w:val="0"/>
      <w:divBdr>
        <w:top w:val="none" w:sz="0" w:space="0" w:color="auto"/>
        <w:left w:val="none" w:sz="0" w:space="0" w:color="auto"/>
        <w:bottom w:val="none" w:sz="0" w:space="0" w:color="auto"/>
        <w:right w:val="none" w:sz="0" w:space="0" w:color="auto"/>
      </w:divBdr>
    </w:div>
    <w:div w:id="712655960">
      <w:bodyDiv w:val="1"/>
      <w:marLeft w:val="0"/>
      <w:marRight w:val="0"/>
      <w:marTop w:val="0"/>
      <w:marBottom w:val="0"/>
      <w:divBdr>
        <w:top w:val="none" w:sz="0" w:space="0" w:color="auto"/>
        <w:left w:val="none" w:sz="0" w:space="0" w:color="auto"/>
        <w:bottom w:val="none" w:sz="0" w:space="0" w:color="auto"/>
        <w:right w:val="none" w:sz="0" w:space="0" w:color="auto"/>
      </w:divBdr>
    </w:div>
    <w:div w:id="879247780">
      <w:bodyDiv w:val="1"/>
      <w:marLeft w:val="0"/>
      <w:marRight w:val="0"/>
      <w:marTop w:val="0"/>
      <w:marBottom w:val="0"/>
      <w:divBdr>
        <w:top w:val="none" w:sz="0" w:space="0" w:color="auto"/>
        <w:left w:val="none" w:sz="0" w:space="0" w:color="auto"/>
        <w:bottom w:val="none" w:sz="0" w:space="0" w:color="auto"/>
        <w:right w:val="none" w:sz="0" w:space="0" w:color="auto"/>
      </w:divBdr>
    </w:div>
    <w:div w:id="1015882722">
      <w:bodyDiv w:val="1"/>
      <w:marLeft w:val="0"/>
      <w:marRight w:val="0"/>
      <w:marTop w:val="0"/>
      <w:marBottom w:val="0"/>
      <w:divBdr>
        <w:top w:val="none" w:sz="0" w:space="0" w:color="auto"/>
        <w:left w:val="none" w:sz="0" w:space="0" w:color="auto"/>
        <w:bottom w:val="none" w:sz="0" w:space="0" w:color="auto"/>
        <w:right w:val="none" w:sz="0" w:space="0" w:color="auto"/>
      </w:divBdr>
    </w:div>
    <w:div w:id="1254239707">
      <w:bodyDiv w:val="1"/>
      <w:marLeft w:val="0"/>
      <w:marRight w:val="0"/>
      <w:marTop w:val="0"/>
      <w:marBottom w:val="0"/>
      <w:divBdr>
        <w:top w:val="none" w:sz="0" w:space="0" w:color="auto"/>
        <w:left w:val="none" w:sz="0" w:space="0" w:color="auto"/>
        <w:bottom w:val="none" w:sz="0" w:space="0" w:color="auto"/>
        <w:right w:val="none" w:sz="0" w:space="0" w:color="auto"/>
      </w:divBdr>
    </w:div>
    <w:div w:id="1440225204">
      <w:bodyDiv w:val="1"/>
      <w:marLeft w:val="0"/>
      <w:marRight w:val="0"/>
      <w:marTop w:val="0"/>
      <w:marBottom w:val="0"/>
      <w:divBdr>
        <w:top w:val="none" w:sz="0" w:space="0" w:color="auto"/>
        <w:left w:val="none" w:sz="0" w:space="0" w:color="auto"/>
        <w:bottom w:val="none" w:sz="0" w:space="0" w:color="auto"/>
        <w:right w:val="none" w:sz="0" w:space="0" w:color="auto"/>
      </w:divBdr>
    </w:div>
    <w:div w:id="1549534539">
      <w:bodyDiv w:val="1"/>
      <w:marLeft w:val="0"/>
      <w:marRight w:val="0"/>
      <w:marTop w:val="0"/>
      <w:marBottom w:val="0"/>
      <w:divBdr>
        <w:top w:val="none" w:sz="0" w:space="0" w:color="auto"/>
        <w:left w:val="none" w:sz="0" w:space="0" w:color="auto"/>
        <w:bottom w:val="none" w:sz="0" w:space="0" w:color="auto"/>
        <w:right w:val="none" w:sz="0" w:space="0" w:color="auto"/>
      </w:divBdr>
    </w:div>
    <w:div w:id="1664429258">
      <w:bodyDiv w:val="1"/>
      <w:marLeft w:val="0"/>
      <w:marRight w:val="0"/>
      <w:marTop w:val="0"/>
      <w:marBottom w:val="0"/>
      <w:divBdr>
        <w:top w:val="none" w:sz="0" w:space="0" w:color="auto"/>
        <w:left w:val="none" w:sz="0" w:space="0" w:color="auto"/>
        <w:bottom w:val="none" w:sz="0" w:space="0" w:color="auto"/>
        <w:right w:val="none" w:sz="0" w:space="0" w:color="auto"/>
      </w:divBdr>
    </w:div>
    <w:div w:id="1698266826">
      <w:bodyDiv w:val="1"/>
      <w:marLeft w:val="0"/>
      <w:marRight w:val="0"/>
      <w:marTop w:val="0"/>
      <w:marBottom w:val="0"/>
      <w:divBdr>
        <w:top w:val="none" w:sz="0" w:space="0" w:color="auto"/>
        <w:left w:val="none" w:sz="0" w:space="0" w:color="auto"/>
        <w:bottom w:val="none" w:sz="0" w:space="0" w:color="auto"/>
        <w:right w:val="none" w:sz="0" w:space="0" w:color="auto"/>
      </w:divBdr>
      <w:divsChild>
        <w:div w:id="972829922">
          <w:marLeft w:val="547"/>
          <w:marRight w:val="0"/>
          <w:marTop w:val="0"/>
          <w:marBottom w:val="0"/>
          <w:divBdr>
            <w:top w:val="none" w:sz="0" w:space="0" w:color="auto"/>
            <w:left w:val="none" w:sz="0" w:space="0" w:color="auto"/>
            <w:bottom w:val="none" w:sz="0" w:space="0" w:color="auto"/>
            <w:right w:val="none" w:sz="0" w:space="0" w:color="auto"/>
          </w:divBdr>
        </w:div>
      </w:divsChild>
    </w:div>
    <w:div w:id="1847599462">
      <w:bodyDiv w:val="1"/>
      <w:marLeft w:val="0"/>
      <w:marRight w:val="0"/>
      <w:marTop w:val="0"/>
      <w:marBottom w:val="0"/>
      <w:divBdr>
        <w:top w:val="none" w:sz="0" w:space="0" w:color="auto"/>
        <w:left w:val="none" w:sz="0" w:space="0" w:color="auto"/>
        <w:bottom w:val="none" w:sz="0" w:space="0" w:color="auto"/>
        <w:right w:val="none" w:sz="0" w:space="0" w:color="auto"/>
      </w:divBdr>
    </w:div>
    <w:div w:id="2009214962">
      <w:bodyDiv w:val="1"/>
      <w:marLeft w:val="0"/>
      <w:marRight w:val="0"/>
      <w:marTop w:val="0"/>
      <w:marBottom w:val="0"/>
      <w:divBdr>
        <w:top w:val="none" w:sz="0" w:space="0" w:color="auto"/>
        <w:left w:val="none" w:sz="0" w:space="0" w:color="auto"/>
        <w:bottom w:val="none" w:sz="0" w:space="0" w:color="auto"/>
        <w:right w:val="none" w:sz="0" w:space="0" w:color="auto"/>
      </w:divBdr>
    </w:div>
    <w:div w:id="20387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NZ" sz="1100"/>
              <a:t>Figure 1: 2004 to 2012 Class 4 Gambling Grant Recipients</a:t>
            </a:r>
          </a:p>
        </c:rich>
      </c:tx>
      <c:overlay val="0"/>
    </c:title>
    <c:autoTitleDeleted val="0"/>
    <c:plotArea>
      <c:layout/>
      <c:pieChart>
        <c:varyColors val="1"/>
        <c:ser>
          <c:idx val="0"/>
          <c:order val="0"/>
          <c:dLbls>
            <c:dLbl>
              <c:idx val="0"/>
              <c:layout>
                <c:manualLayout>
                  <c:x val="3.6336377198574896E-2"/>
                  <c:y val="3.9053704145567664E-2"/>
                </c:manualLayout>
              </c:layout>
              <c:tx>
                <c:rich>
                  <a:bodyPr/>
                  <a:lstStyle/>
                  <a:p>
                    <a:r>
                      <a:rPr lang="en-US"/>
                      <a:t>Community/</a:t>
                    </a:r>
                  </a:p>
                  <a:p>
                    <a:r>
                      <a:rPr lang="en-US"/>
                      <a:t>Services
20%</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Dist_beneficiaries!$A$56:$A$62</c:f>
              <c:strCache>
                <c:ptCount val="7"/>
                <c:pt idx="0">
                  <c:v>Community/Services</c:v>
                </c:pt>
                <c:pt idx="1">
                  <c:v>Education</c:v>
                </c:pt>
                <c:pt idx="2">
                  <c:v>Racing </c:v>
                </c:pt>
                <c:pt idx="3">
                  <c:v>Emergency Services</c:v>
                </c:pt>
                <c:pt idx="4">
                  <c:v>Health</c:v>
                </c:pt>
                <c:pt idx="5">
                  <c:v>Arts and other</c:v>
                </c:pt>
                <c:pt idx="6">
                  <c:v>Sport</c:v>
                </c:pt>
              </c:strCache>
            </c:strRef>
          </c:cat>
          <c:val>
            <c:numRef>
              <c:f>Dist_beneficiaries!$B$56:$B$62</c:f>
              <c:numCache>
                <c:formatCode>0%</c:formatCode>
                <c:ptCount val="7"/>
                <c:pt idx="0">
                  <c:v>0.2</c:v>
                </c:pt>
                <c:pt idx="1">
                  <c:v>0.09</c:v>
                </c:pt>
                <c:pt idx="2">
                  <c:v>0.06</c:v>
                </c:pt>
                <c:pt idx="3">
                  <c:v>0.06</c:v>
                </c:pt>
                <c:pt idx="4">
                  <c:v>0.04</c:v>
                </c:pt>
                <c:pt idx="5">
                  <c:v>0.09</c:v>
                </c:pt>
                <c:pt idx="6">
                  <c:v>0.46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4EE6-4FFB-4763-BB1F-D95D0819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BE52EE59</Template>
  <TotalTime>0</TotalTime>
  <Pages>13</Pages>
  <Words>3925</Words>
  <Characters>20780</Characters>
  <Application>Microsoft Office Word</Application>
  <DocSecurity>0</DocSecurity>
  <Lines>173</Lines>
  <Paragraphs>49</Paragraphs>
  <ScaleCrop>false</ScaleCrop>
  <Company/>
  <LinksUpToDate>false</LinksUpToDate>
  <CharactersWithSpaces>24656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2016-04-06T03:15:00Z</dcterms:created>
  <dcterms:modified xsi:type="dcterms:W3CDTF">2016-04-06T03:15:00Z</dcterms:modified>
</cp:coreProperties>
</file>